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3D" w:rsidRDefault="003C593D" w:rsidP="003C593D">
      <w:pPr>
        <w:jc w:val="center"/>
        <w:rPr>
          <w:b/>
          <w:bCs/>
          <w:sz w:val="32"/>
          <w:szCs w:val="32"/>
        </w:rPr>
      </w:pPr>
      <w:r w:rsidRPr="00656E65">
        <w:rPr>
          <w:b/>
          <w:bCs/>
          <w:sz w:val="32"/>
          <w:szCs w:val="32"/>
        </w:rPr>
        <w:t xml:space="preserve">Anesthesia for Mitral Valve Replacement Surgery: </w:t>
      </w:r>
    </w:p>
    <w:p w:rsidR="003C593D" w:rsidRPr="00656E65" w:rsidRDefault="003C593D" w:rsidP="003C593D">
      <w:pPr>
        <w:jc w:val="center"/>
        <w:rPr>
          <w:b/>
          <w:bCs/>
          <w:sz w:val="32"/>
          <w:szCs w:val="32"/>
        </w:rPr>
      </w:pPr>
      <w:r w:rsidRPr="00656E65">
        <w:rPr>
          <w:b/>
          <w:bCs/>
          <w:sz w:val="32"/>
          <w:szCs w:val="32"/>
        </w:rPr>
        <w:t>Impact of Thoracic Epidural Analgesia on Extubation Time and Pain Scores</w:t>
      </w:r>
    </w:p>
    <w:p w:rsidR="003C593D" w:rsidRPr="0028517C" w:rsidRDefault="003C593D" w:rsidP="003C593D">
      <w:pPr>
        <w:jc w:val="center"/>
        <w:rPr>
          <w:b/>
          <w:bCs/>
          <w:sz w:val="12"/>
          <w:szCs w:val="12"/>
        </w:rPr>
      </w:pPr>
    </w:p>
    <w:p w:rsidR="003C593D" w:rsidRPr="0028517C" w:rsidRDefault="003C593D" w:rsidP="003C593D">
      <w:pPr>
        <w:spacing w:before="60" w:after="60"/>
        <w:jc w:val="center"/>
        <w:rPr>
          <w:b/>
          <w:bCs/>
        </w:rPr>
      </w:pPr>
      <w:r w:rsidRPr="0028517C">
        <w:rPr>
          <w:b/>
          <w:bCs/>
        </w:rPr>
        <w:t>Raafat A. Salem*, Ahmed M.A., Abd Elmaabood*, and Ayman M. Abdel-Ghaffar**</w:t>
      </w:r>
    </w:p>
    <w:p w:rsidR="003C593D" w:rsidRPr="0028517C" w:rsidRDefault="003C593D" w:rsidP="003C593D">
      <w:pPr>
        <w:spacing w:before="60" w:after="60"/>
        <w:jc w:val="center"/>
      </w:pPr>
      <w:r w:rsidRPr="0028517C">
        <w:t>Department</w:t>
      </w:r>
      <w:r>
        <w:t>s</w:t>
      </w:r>
      <w:r w:rsidRPr="0028517C">
        <w:t xml:space="preserve"> of Anesthesia * and Cardi</w:t>
      </w:r>
      <w:r>
        <w:t>othoracic</w:t>
      </w:r>
      <w:r w:rsidRPr="0028517C">
        <w:t xml:space="preserve"> Surgery**</w:t>
      </w:r>
      <w:r>
        <w:t xml:space="preserve">, </w:t>
      </w:r>
      <w:r w:rsidRPr="0028517C">
        <w:t xml:space="preserve">Sohag Faculty of Medicine, </w:t>
      </w:r>
      <w:smartTag w:uri="urn:schemas-microsoft-com:office:smarttags" w:element="place">
        <w:smartTag w:uri="urn:schemas-microsoft-com:office:smarttags" w:element="PlaceName">
          <w:r w:rsidRPr="0028517C">
            <w:t>Sohag</w:t>
          </w:r>
        </w:smartTag>
        <w:r w:rsidRPr="0028517C">
          <w:t xml:space="preserve"> </w:t>
        </w:r>
        <w:smartTag w:uri="urn:schemas-microsoft-com:office:smarttags" w:element="PlaceType">
          <w:r w:rsidRPr="0028517C">
            <w:t>University</w:t>
          </w:r>
        </w:smartTag>
      </w:smartTag>
    </w:p>
    <w:p w:rsidR="003C593D" w:rsidRPr="00656E65" w:rsidRDefault="003C593D" w:rsidP="003C593D">
      <w:pPr>
        <w:jc w:val="both"/>
        <w:rPr>
          <w:b/>
          <w:bCs/>
          <w:sz w:val="28"/>
          <w:szCs w:val="28"/>
        </w:rPr>
      </w:pPr>
      <w:r w:rsidRPr="00656E65">
        <w:rPr>
          <w:b/>
          <w:bCs/>
          <w:sz w:val="28"/>
          <w:szCs w:val="28"/>
        </w:rPr>
        <w:t>Abstract</w:t>
      </w:r>
    </w:p>
    <w:p w:rsidR="003C593D" w:rsidRDefault="003C593D" w:rsidP="003C593D">
      <w:pPr>
        <w:jc w:val="both"/>
        <w:rPr>
          <w:sz w:val="22"/>
          <w:szCs w:val="22"/>
        </w:rPr>
      </w:pPr>
      <w:r w:rsidRPr="00656E65">
        <w:rPr>
          <w:b/>
          <w:bCs/>
          <w:sz w:val="22"/>
          <w:szCs w:val="22"/>
        </w:rPr>
        <w:t>Background:</w:t>
      </w:r>
      <w:r w:rsidRPr="00656E65">
        <w:rPr>
          <w:sz w:val="22"/>
          <w:szCs w:val="22"/>
        </w:rPr>
        <w:t xml:space="preserve"> </w:t>
      </w:r>
      <w:r w:rsidRPr="00DF47D8">
        <w:rPr>
          <w:sz w:val="22"/>
          <w:szCs w:val="22"/>
        </w:rPr>
        <w:t xml:space="preserve">Thoracic epidural </w:t>
      </w:r>
      <w:r>
        <w:rPr>
          <w:sz w:val="22"/>
          <w:szCs w:val="22"/>
        </w:rPr>
        <w:t>analgesia</w:t>
      </w:r>
      <w:r w:rsidRPr="00DF47D8">
        <w:rPr>
          <w:sz w:val="22"/>
          <w:szCs w:val="22"/>
        </w:rPr>
        <w:t xml:space="preserve"> (TEA</w:t>
      </w:r>
      <w:r>
        <w:rPr>
          <w:sz w:val="22"/>
          <w:szCs w:val="22"/>
        </w:rPr>
        <w:t>)</w:t>
      </w:r>
      <w:r w:rsidRPr="00DF47D8">
        <w:rPr>
          <w:sz w:val="22"/>
          <w:szCs w:val="22"/>
        </w:rPr>
        <w:t xml:space="preserve"> after thoracic surgery </w:t>
      </w:r>
      <w:r>
        <w:rPr>
          <w:sz w:val="22"/>
          <w:szCs w:val="22"/>
        </w:rPr>
        <w:t>provides the</w:t>
      </w:r>
      <w:r w:rsidRPr="00DF47D8">
        <w:rPr>
          <w:sz w:val="22"/>
          <w:szCs w:val="22"/>
        </w:rPr>
        <w:t xml:space="preserve"> most effective analgesia</w:t>
      </w:r>
      <w:r>
        <w:rPr>
          <w:sz w:val="22"/>
          <w:szCs w:val="22"/>
        </w:rPr>
        <w:t>,</w:t>
      </w:r>
      <w:r w:rsidRPr="00DF47D8">
        <w:rPr>
          <w:sz w:val="22"/>
          <w:szCs w:val="22"/>
        </w:rPr>
        <w:t> </w:t>
      </w:r>
      <w:r>
        <w:rPr>
          <w:sz w:val="22"/>
          <w:szCs w:val="22"/>
        </w:rPr>
        <w:t>influences</w:t>
      </w:r>
      <w:r w:rsidRPr="00DF47D8">
        <w:rPr>
          <w:sz w:val="22"/>
          <w:szCs w:val="22"/>
        </w:rPr>
        <w:t xml:space="preserve"> </w:t>
      </w:r>
      <w:r>
        <w:rPr>
          <w:sz w:val="22"/>
          <w:szCs w:val="22"/>
        </w:rPr>
        <w:t>the</w:t>
      </w:r>
      <w:r w:rsidRPr="00DF47D8">
        <w:rPr>
          <w:sz w:val="22"/>
          <w:szCs w:val="22"/>
        </w:rPr>
        <w:t xml:space="preserve"> neurohumoural stress response</w:t>
      </w:r>
      <w:r>
        <w:rPr>
          <w:sz w:val="22"/>
          <w:szCs w:val="22"/>
        </w:rPr>
        <w:t xml:space="preserve"> and</w:t>
      </w:r>
      <w:r w:rsidRPr="00DF47D8">
        <w:rPr>
          <w:sz w:val="22"/>
          <w:szCs w:val="22"/>
        </w:rPr>
        <w:t xml:space="preserve"> </w:t>
      </w:r>
      <w:r>
        <w:rPr>
          <w:sz w:val="22"/>
          <w:szCs w:val="22"/>
        </w:rPr>
        <w:t>cardiovascular pathophysiology.</w:t>
      </w:r>
    </w:p>
    <w:p w:rsidR="003C593D" w:rsidRPr="00656E65" w:rsidRDefault="003C593D" w:rsidP="003C593D">
      <w:pPr>
        <w:jc w:val="both"/>
        <w:rPr>
          <w:sz w:val="22"/>
          <w:szCs w:val="22"/>
        </w:rPr>
      </w:pPr>
      <w:r w:rsidRPr="00DF47D8">
        <w:rPr>
          <w:b/>
          <w:bCs/>
          <w:sz w:val="22"/>
          <w:szCs w:val="22"/>
        </w:rPr>
        <w:t>Aim:</w:t>
      </w:r>
      <w:r>
        <w:rPr>
          <w:sz w:val="22"/>
          <w:szCs w:val="22"/>
        </w:rPr>
        <w:t xml:space="preserve"> T</w:t>
      </w:r>
      <w:r w:rsidRPr="00656E65">
        <w:rPr>
          <w:sz w:val="22"/>
          <w:szCs w:val="22"/>
        </w:rPr>
        <w:t xml:space="preserve">o evaluate the impact of </w:t>
      </w:r>
      <w:r>
        <w:rPr>
          <w:sz w:val="22"/>
          <w:szCs w:val="22"/>
        </w:rPr>
        <w:t>TEA,</w:t>
      </w:r>
      <w:r w:rsidRPr="00656E65">
        <w:rPr>
          <w:sz w:val="22"/>
          <w:szCs w:val="22"/>
        </w:rPr>
        <w:t xml:space="preserve"> via a catheter </w:t>
      </w:r>
      <w:r>
        <w:rPr>
          <w:sz w:val="22"/>
          <w:szCs w:val="22"/>
        </w:rPr>
        <w:t>placed</w:t>
      </w:r>
      <w:r w:rsidRPr="00656E65">
        <w:rPr>
          <w:sz w:val="22"/>
          <w:szCs w:val="22"/>
        </w:rPr>
        <w:t xml:space="preserve"> pre-operatively, on extubation time and pain scores in patients undergoing mitral valve replacement surgery.</w:t>
      </w:r>
    </w:p>
    <w:p w:rsidR="003C593D" w:rsidRPr="00656E65" w:rsidRDefault="003C593D" w:rsidP="003C593D">
      <w:pPr>
        <w:jc w:val="both"/>
        <w:rPr>
          <w:sz w:val="22"/>
          <w:szCs w:val="22"/>
        </w:rPr>
      </w:pPr>
      <w:r w:rsidRPr="00656E65">
        <w:rPr>
          <w:b/>
          <w:bCs/>
          <w:sz w:val="22"/>
          <w:szCs w:val="22"/>
        </w:rPr>
        <w:t>Methods:</w:t>
      </w:r>
      <w:r w:rsidRPr="00656E65">
        <w:rPr>
          <w:sz w:val="22"/>
          <w:szCs w:val="22"/>
        </w:rPr>
        <w:t xml:space="preserve"> </w:t>
      </w:r>
      <w:r>
        <w:rPr>
          <w:sz w:val="22"/>
          <w:szCs w:val="22"/>
        </w:rPr>
        <w:t>In this</w:t>
      </w:r>
      <w:r w:rsidRPr="00656E65">
        <w:rPr>
          <w:sz w:val="22"/>
          <w:szCs w:val="22"/>
        </w:rPr>
        <w:t xml:space="preserve"> prospective, randomized study</w:t>
      </w:r>
      <w:r>
        <w:rPr>
          <w:sz w:val="22"/>
          <w:szCs w:val="22"/>
        </w:rPr>
        <w:t>,</w:t>
      </w:r>
      <w:r w:rsidRPr="00656E65">
        <w:rPr>
          <w:sz w:val="22"/>
          <w:szCs w:val="22"/>
        </w:rPr>
        <w:t xml:space="preserve"> </w:t>
      </w:r>
      <w:r>
        <w:rPr>
          <w:sz w:val="22"/>
          <w:szCs w:val="22"/>
        </w:rPr>
        <w:t>e</w:t>
      </w:r>
      <w:r w:rsidRPr="00656E65">
        <w:rPr>
          <w:sz w:val="22"/>
          <w:szCs w:val="22"/>
        </w:rPr>
        <w:t xml:space="preserve">ighty four patients scheduled for elective mitral valve replacement surgery </w:t>
      </w:r>
      <w:r>
        <w:rPr>
          <w:sz w:val="22"/>
          <w:szCs w:val="22"/>
        </w:rPr>
        <w:t>were</w:t>
      </w:r>
      <w:r w:rsidRPr="00656E65">
        <w:rPr>
          <w:sz w:val="22"/>
          <w:szCs w:val="22"/>
        </w:rPr>
        <w:t xml:space="preserve"> randomly allocated into two groups (42 patients each). </w:t>
      </w:r>
      <w:r>
        <w:rPr>
          <w:sz w:val="22"/>
          <w:szCs w:val="22"/>
        </w:rPr>
        <w:t>Patients in the first group (</w:t>
      </w:r>
      <w:r w:rsidRPr="00656E65">
        <w:rPr>
          <w:sz w:val="22"/>
          <w:szCs w:val="22"/>
        </w:rPr>
        <w:t>TEA</w:t>
      </w:r>
      <w:r>
        <w:rPr>
          <w:sz w:val="22"/>
          <w:szCs w:val="22"/>
        </w:rPr>
        <w:t>)</w:t>
      </w:r>
      <w:r w:rsidRPr="00656E65">
        <w:rPr>
          <w:sz w:val="22"/>
          <w:szCs w:val="22"/>
        </w:rPr>
        <w:t xml:space="preserve"> subjected to combined general anesthesia and </w:t>
      </w:r>
      <w:r>
        <w:rPr>
          <w:sz w:val="22"/>
          <w:szCs w:val="22"/>
        </w:rPr>
        <w:t xml:space="preserve">TEA while those in the second group </w:t>
      </w:r>
      <w:r w:rsidRPr="00656E65">
        <w:rPr>
          <w:sz w:val="22"/>
          <w:szCs w:val="22"/>
        </w:rPr>
        <w:t>(</w:t>
      </w:r>
      <w:r>
        <w:rPr>
          <w:sz w:val="22"/>
          <w:szCs w:val="22"/>
        </w:rPr>
        <w:t>o</w:t>
      </w:r>
      <w:r w:rsidRPr="00656E65">
        <w:rPr>
          <w:sz w:val="22"/>
          <w:szCs w:val="22"/>
        </w:rPr>
        <w:t>pioid based</w:t>
      </w:r>
      <w:r>
        <w:rPr>
          <w:sz w:val="22"/>
          <w:szCs w:val="22"/>
        </w:rPr>
        <w:t>) received</w:t>
      </w:r>
      <w:r w:rsidRPr="00656E65">
        <w:rPr>
          <w:sz w:val="22"/>
          <w:szCs w:val="22"/>
        </w:rPr>
        <w:t xml:space="preserve"> opioid-based general anesthesia. </w:t>
      </w:r>
      <w:r>
        <w:rPr>
          <w:sz w:val="22"/>
          <w:szCs w:val="22"/>
        </w:rPr>
        <w:t>E</w:t>
      </w:r>
      <w:r w:rsidRPr="00656E65">
        <w:rPr>
          <w:sz w:val="22"/>
          <w:szCs w:val="22"/>
        </w:rPr>
        <w:t>xtubation tim</w:t>
      </w:r>
      <w:r>
        <w:rPr>
          <w:sz w:val="22"/>
          <w:szCs w:val="22"/>
        </w:rPr>
        <w:t>e was recorded, h</w:t>
      </w:r>
      <w:r w:rsidRPr="00656E65">
        <w:rPr>
          <w:sz w:val="22"/>
          <w:szCs w:val="22"/>
        </w:rPr>
        <w:t xml:space="preserve">emodynamic stability and pain scores were assessed up to 48 h after surgery. The total dose of fentanyl consumed over 48 hr postoperatively was recorded. </w:t>
      </w:r>
    </w:p>
    <w:p w:rsidR="003C593D" w:rsidRPr="00656E65" w:rsidRDefault="003C593D" w:rsidP="003C593D">
      <w:pPr>
        <w:jc w:val="both"/>
        <w:rPr>
          <w:sz w:val="22"/>
          <w:szCs w:val="22"/>
        </w:rPr>
      </w:pPr>
      <w:r w:rsidRPr="00DF761C">
        <w:rPr>
          <w:b/>
          <w:bCs/>
          <w:sz w:val="22"/>
          <w:szCs w:val="22"/>
        </w:rPr>
        <w:t>Results:</w:t>
      </w:r>
      <w:r w:rsidRPr="00DF761C">
        <w:rPr>
          <w:sz w:val="22"/>
          <w:szCs w:val="22"/>
        </w:rPr>
        <w:t xml:space="preserve"> There was a statistically significant decrease (P&lt;0.001) in extubation time in TEA group compared with that in opioid based group. In addition, there was significantly lower mean pain scores (P&lt;0.01) throughout the postoperative observational period in the TEA group compared with those in the opioid based group. The total dose of fentanyl consumed over 48 hours was higher in opioid based group than that of TEA group (P&lt;0.001). </w:t>
      </w:r>
    </w:p>
    <w:p w:rsidR="003C593D" w:rsidRPr="00656E65" w:rsidRDefault="003C593D" w:rsidP="003C593D">
      <w:pPr>
        <w:jc w:val="both"/>
        <w:rPr>
          <w:sz w:val="22"/>
          <w:szCs w:val="22"/>
        </w:rPr>
      </w:pPr>
      <w:r w:rsidRPr="00656E65">
        <w:rPr>
          <w:b/>
          <w:bCs/>
          <w:sz w:val="22"/>
          <w:szCs w:val="22"/>
        </w:rPr>
        <w:t>Conclusion:</w:t>
      </w:r>
      <w:r w:rsidRPr="00656E65">
        <w:rPr>
          <w:sz w:val="22"/>
          <w:szCs w:val="22"/>
        </w:rPr>
        <w:t xml:space="preserve"> </w:t>
      </w:r>
      <w:r>
        <w:rPr>
          <w:sz w:val="22"/>
          <w:szCs w:val="22"/>
        </w:rPr>
        <w:t>From surgical perspective, early extubation, amelioration of severity of postoperative pain and rapid regaining physical activity obtained via TEA improves the surgical outcome via reduction of postoperative complications, shortening of intensive care and hospital stay and saving financial resources.</w:t>
      </w:r>
    </w:p>
    <w:p w:rsidR="003C593D" w:rsidRPr="00656E65" w:rsidRDefault="003C593D" w:rsidP="003C593D">
      <w:pPr>
        <w:jc w:val="both"/>
        <w:rPr>
          <w:b/>
          <w:bCs/>
          <w:sz w:val="12"/>
          <w:szCs w:val="12"/>
        </w:rPr>
      </w:pPr>
    </w:p>
    <w:p w:rsidR="003C593D" w:rsidRPr="00656E65" w:rsidRDefault="003C593D" w:rsidP="003C593D">
      <w:pPr>
        <w:jc w:val="both"/>
        <w:rPr>
          <w:sz w:val="20"/>
          <w:szCs w:val="20"/>
        </w:rPr>
      </w:pPr>
      <w:r w:rsidRPr="00656E65">
        <w:rPr>
          <w:b/>
          <w:bCs/>
          <w:sz w:val="20"/>
          <w:szCs w:val="20"/>
        </w:rPr>
        <w:t xml:space="preserve">Keywords: </w:t>
      </w:r>
      <w:r w:rsidRPr="00656E65">
        <w:rPr>
          <w:sz w:val="20"/>
          <w:szCs w:val="20"/>
        </w:rPr>
        <w:t>Early Extubation; Thoracic Epidural Anesthesia; Mitral Valve Surgery.</w:t>
      </w:r>
    </w:p>
    <w:p w:rsidR="003C593D" w:rsidRPr="00656E65" w:rsidRDefault="003C593D" w:rsidP="003C593D">
      <w:pPr>
        <w:jc w:val="both"/>
        <w:rPr>
          <w:sz w:val="20"/>
          <w:szCs w:val="20"/>
        </w:rPr>
      </w:pPr>
    </w:p>
    <w:p w:rsidR="003C593D" w:rsidRDefault="003C593D" w:rsidP="003C593D">
      <w:pPr>
        <w:jc w:val="both"/>
        <w:rPr>
          <w:b/>
          <w:bCs/>
          <w:sz w:val="28"/>
          <w:szCs w:val="28"/>
        </w:rPr>
        <w:sectPr w:rsidR="003C593D" w:rsidSect="00866124">
          <w:headerReference w:type="even" r:id="rId7"/>
          <w:headerReference w:type="default" r:id="rId8"/>
          <w:footerReference w:type="even" r:id="rId9"/>
          <w:footerReference w:type="default" r:id="rId10"/>
          <w:headerReference w:type="first" r:id="rId11"/>
          <w:footerReference w:type="first" r:id="rId12"/>
          <w:pgSz w:w="12240" w:h="15840" w:code="1"/>
          <w:pgMar w:top="1440" w:right="1797" w:bottom="1440" w:left="1797" w:header="709" w:footer="709" w:gutter="0"/>
          <w:pgNumType w:start="1"/>
          <w:cols w:space="708"/>
          <w:titlePg/>
          <w:docGrid w:linePitch="360"/>
        </w:sectPr>
      </w:pPr>
    </w:p>
    <w:p w:rsidR="003C593D" w:rsidRPr="00656E65" w:rsidRDefault="003C593D" w:rsidP="003C593D">
      <w:pPr>
        <w:jc w:val="both"/>
        <w:rPr>
          <w:b/>
          <w:bCs/>
          <w:sz w:val="28"/>
          <w:szCs w:val="28"/>
        </w:rPr>
      </w:pPr>
      <w:r w:rsidRPr="00656E65">
        <w:rPr>
          <w:b/>
          <w:bCs/>
          <w:sz w:val="28"/>
          <w:szCs w:val="28"/>
        </w:rPr>
        <w:lastRenderedPageBreak/>
        <w:t xml:space="preserve">Introduction </w:t>
      </w:r>
    </w:p>
    <w:p w:rsidR="003C593D" w:rsidRDefault="003C593D" w:rsidP="003C593D">
      <w:pPr>
        <w:ind w:firstLine="567"/>
        <w:jc w:val="both"/>
        <w:sectPr w:rsidR="003C593D" w:rsidSect="00573076">
          <w:type w:val="continuous"/>
          <w:pgSz w:w="12240" w:h="15840"/>
          <w:pgMar w:top="1440" w:right="1797" w:bottom="1440" w:left="1797" w:header="709" w:footer="709" w:gutter="0"/>
          <w:cols w:space="708"/>
          <w:titlePg/>
          <w:docGrid w:linePitch="360"/>
        </w:sectPr>
      </w:pPr>
    </w:p>
    <w:p w:rsidR="003C593D" w:rsidRDefault="003C593D" w:rsidP="003C593D">
      <w:pPr>
        <w:ind w:firstLine="567"/>
        <w:jc w:val="both"/>
      </w:pPr>
      <w:r w:rsidRPr="00656E65">
        <w:lastRenderedPageBreak/>
        <w:t xml:space="preserve">Thoracic epidural </w:t>
      </w:r>
      <w:r>
        <w:rPr>
          <w:sz w:val="22"/>
          <w:szCs w:val="22"/>
        </w:rPr>
        <w:t>analgesia</w:t>
      </w:r>
      <w:r w:rsidRPr="00DF47D8">
        <w:rPr>
          <w:sz w:val="22"/>
          <w:szCs w:val="22"/>
        </w:rPr>
        <w:t xml:space="preserve"> </w:t>
      </w:r>
      <w:r w:rsidRPr="00656E65">
        <w:t xml:space="preserve">(TEA) </w:t>
      </w:r>
      <w:r>
        <w:t>carries potential</w:t>
      </w:r>
      <w:r w:rsidRPr="00656E65">
        <w:t xml:space="preserve"> </w:t>
      </w:r>
      <w:r>
        <w:t>benefits</w:t>
      </w:r>
      <w:r w:rsidRPr="00656E65">
        <w:t xml:space="preserve"> </w:t>
      </w:r>
      <w:r>
        <w:t>to</w:t>
      </w:r>
      <w:r w:rsidRPr="00656E65">
        <w:t xml:space="preserve"> patients undergoing surgical </w:t>
      </w:r>
      <w:r w:rsidR="001359D3" w:rsidRPr="00656E65">
        <w:t>procedures</w:t>
      </w:r>
      <w:r w:rsidR="001359D3" w:rsidRPr="00573076">
        <w:rPr>
          <w:b/>
          <w:bCs/>
          <w:vertAlign w:val="superscript"/>
        </w:rPr>
        <w:t xml:space="preserve"> (</w:t>
      </w:r>
      <w:r w:rsidRPr="00573076">
        <w:rPr>
          <w:b/>
          <w:bCs/>
          <w:vertAlign w:val="superscript"/>
        </w:rPr>
        <w:t>1)</w:t>
      </w:r>
      <w:r w:rsidRPr="00656E65">
        <w:t>. In cardiac surgery</w:t>
      </w:r>
      <w:r>
        <w:t xml:space="preserve"> the advantages</w:t>
      </w:r>
      <w:r w:rsidRPr="00656E65">
        <w:t xml:space="preserve"> of TEA include early recovery of consciousness and spontaneous </w:t>
      </w:r>
      <w:r>
        <w:t>breathing</w:t>
      </w:r>
      <w:r w:rsidRPr="00573076">
        <w:rPr>
          <w:b/>
          <w:bCs/>
          <w:vertAlign w:val="superscript"/>
        </w:rPr>
        <w:t>(2)</w:t>
      </w:r>
      <w:r w:rsidRPr="00656E65">
        <w:t>, hemodynamic stability</w:t>
      </w:r>
      <w:r w:rsidRPr="00573076">
        <w:rPr>
          <w:b/>
          <w:bCs/>
          <w:vertAlign w:val="superscript"/>
        </w:rPr>
        <w:t>(3)</w:t>
      </w:r>
      <w:r w:rsidRPr="00656E65">
        <w:t xml:space="preserve">, </w:t>
      </w:r>
      <w:r>
        <w:t>better</w:t>
      </w:r>
      <w:r w:rsidRPr="00656E65">
        <w:t xml:space="preserve"> analgesia</w:t>
      </w:r>
      <w:r w:rsidRPr="00573076">
        <w:rPr>
          <w:b/>
          <w:bCs/>
          <w:vertAlign w:val="superscript"/>
        </w:rPr>
        <w:t>(2)</w:t>
      </w:r>
      <w:r w:rsidRPr="00656E65">
        <w:t xml:space="preserve">, </w:t>
      </w:r>
      <w:r>
        <w:t>diminished</w:t>
      </w:r>
      <w:r w:rsidRPr="00656E65">
        <w:t xml:space="preserve"> oxygen demand, </w:t>
      </w:r>
      <w:r>
        <w:t>improved</w:t>
      </w:r>
      <w:r w:rsidRPr="00656E65">
        <w:t xml:space="preserve"> coronary blood flow</w:t>
      </w:r>
      <w:r>
        <w:rPr>
          <w:b/>
          <w:bCs/>
          <w:vertAlign w:val="superscript"/>
        </w:rPr>
        <w:t>(</w:t>
      </w:r>
      <w:r w:rsidRPr="00573076">
        <w:rPr>
          <w:b/>
          <w:bCs/>
          <w:vertAlign w:val="superscript"/>
        </w:rPr>
        <w:t>4</w:t>
      </w:r>
      <w:r>
        <w:rPr>
          <w:b/>
          <w:bCs/>
          <w:vertAlign w:val="superscript"/>
        </w:rPr>
        <w:t>)</w:t>
      </w:r>
      <w:r w:rsidRPr="00656E65">
        <w:t>, reduced risk of depression and posttraumatic stress</w:t>
      </w:r>
      <w:r w:rsidRPr="00573076">
        <w:rPr>
          <w:b/>
          <w:bCs/>
          <w:vertAlign w:val="superscript"/>
        </w:rPr>
        <w:t>(5)</w:t>
      </w:r>
      <w:r>
        <w:t>,</w:t>
      </w:r>
      <w:r w:rsidRPr="00656E65">
        <w:t xml:space="preserve"> </w:t>
      </w:r>
      <w:r>
        <w:t xml:space="preserve">ameliorated </w:t>
      </w:r>
      <w:r w:rsidRPr="00656E65">
        <w:t>pulmonary function</w:t>
      </w:r>
      <w:r>
        <w:rPr>
          <w:b/>
          <w:bCs/>
          <w:vertAlign w:val="superscript"/>
        </w:rPr>
        <w:t>(6)</w:t>
      </w:r>
      <w:r w:rsidRPr="00656E65">
        <w:t>, and early extubation</w:t>
      </w:r>
      <w:r w:rsidRPr="00573076">
        <w:rPr>
          <w:b/>
          <w:bCs/>
          <w:vertAlign w:val="superscript"/>
        </w:rPr>
        <w:t>(7)</w:t>
      </w:r>
      <w:r>
        <w:t>.</w:t>
      </w:r>
      <w:r w:rsidRPr="00656E65">
        <w:t xml:space="preserve"> Adequate post</w:t>
      </w:r>
      <w:r>
        <w:t>-</w:t>
      </w:r>
      <w:r w:rsidRPr="00656E65">
        <w:t xml:space="preserve">operative analgesia </w:t>
      </w:r>
      <w:r>
        <w:t>ensures optimal</w:t>
      </w:r>
      <w:r w:rsidRPr="00656E65">
        <w:t xml:space="preserve"> </w:t>
      </w:r>
      <w:r>
        <w:t>pain-free recovery</w:t>
      </w:r>
      <w:r w:rsidRPr="00656E65">
        <w:t xml:space="preserve">. It may also </w:t>
      </w:r>
      <w:r>
        <w:t>diminish</w:t>
      </w:r>
      <w:r w:rsidRPr="00656E65">
        <w:t xml:space="preserve"> </w:t>
      </w:r>
      <w:r w:rsidRPr="00656E65">
        <w:lastRenderedPageBreak/>
        <w:t>morbidity, postoperative hospital stay and</w:t>
      </w:r>
      <w:r>
        <w:t xml:space="preserve"> </w:t>
      </w:r>
      <w:r w:rsidRPr="00656E65">
        <w:t xml:space="preserve">cost. </w:t>
      </w:r>
      <w:r>
        <w:t>Moreover, i</w:t>
      </w:r>
      <w:r w:rsidRPr="00656E65">
        <w:t xml:space="preserve">nadequate postoperative analgesia may increase morbidity </w:t>
      </w:r>
      <w:r>
        <w:t>via</w:t>
      </w:r>
      <w:r w:rsidRPr="00656E65">
        <w:t xml:space="preserve"> adverse hemodynamic, metabolic, immunologic, and haemostatic </w:t>
      </w:r>
      <w:r>
        <w:t>derangements</w:t>
      </w:r>
      <w:r>
        <w:rPr>
          <w:b/>
          <w:bCs/>
          <w:vertAlign w:val="superscript"/>
        </w:rPr>
        <w:t>(8)</w:t>
      </w:r>
      <w:r w:rsidRPr="00656E65">
        <w:t xml:space="preserve">. </w:t>
      </w:r>
      <w:r>
        <w:t>Therefore</w:t>
      </w:r>
      <w:r w:rsidRPr="00656E65">
        <w:t xml:space="preserve">, </w:t>
      </w:r>
      <w:r>
        <w:t>sufficient</w:t>
      </w:r>
      <w:r w:rsidRPr="00656E65">
        <w:t xml:space="preserve"> control of postoperative pain may improve outcome in high-risk </w:t>
      </w:r>
      <w:r w:rsidRPr="002834C9">
        <w:t>patients after non-cardiac surgery</w:t>
      </w:r>
      <w:r w:rsidRPr="002834C9">
        <w:rPr>
          <w:b/>
          <w:bCs/>
          <w:vertAlign w:val="superscript"/>
        </w:rPr>
        <w:t>(9)</w:t>
      </w:r>
      <w:r w:rsidRPr="002834C9">
        <w:t>,</w:t>
      </w:r>
      <w:r w:rsidRPr="00656E65">
        <w:t xml:space="preserve"> as well as in cardiac surgery</w:t>
      </w:r>
      <w:r>
        <w:rPr>
          <w:b/>
          <w:bCs/>
          <w:vertAlign w:val="superscript"/>
        </w:rPr>
        <w:t>(10-11)</w:t>
      </w:r>
      <w:r w:rsidRPr="00656E65">
        <w:t xml:space="preserve">. </w:t>
      </w:r>
    </w:p>
    <w:p w:rsidR="003C593D" w:rsidRDefault="003C593D" w:rsidP="003C593D">
      <w:pPr>
        <w:ind w:firstLine="567"/>
        <w:jc w:val="both"/>
      </w:pPr>
      <w:r w:rsidRPr="00656E65">
        <w:t>Post</w:t>
      </w:r>
      <w:r>
        <w:t>-</w:t>
      </w:r>
      <w:r w:rsidRPr="00656E65">
        <w:t xml:space="preserve">operative analgesia may be attained via a wide variety of techniques. IV </w:t>
      </w:r>
      <w:r>
        <w:t>o</w:t>
      </w:r>
      <w:r w:rsidRPr="00656E65">
        <w:t xml:space="preserve">pioid use is associated with definite detrimental side effects, and long-acting opioid may delay tracheal extubation </w:t>
      </w:r>
      <w:r w:rsidRPr="00656E65">
        <w:lastRenderedPageBreak/>
        <w:t xml:space="preserve">during the </w:t>
      </w:r>
      <w:r>
        <w:t>immediate postoperative period</w:t>
      </w:r>
      <w:r w:rsidRPr="00573076">
        <w:rPr>
          <w:b/>
          <w:bCs/>
          <w:vertAlign w:val="superscript"/>
        </w:rPr>
        <w:t>(12)</w:t>
      </w:r>
      <w:r w:rsidRPr="00656E65">
        <w:t xml:space="preserve"> During the last decade, intrathecal and epidural techniques have been </w:t>
      </w:r>
      <w:r>
        <w:t>increasingly utilized</w:t>
      </w:r>
      <w:r w:rsidRPr="00656E65">
        <w:t xml:space="preserve">. </w:t>
      </w:r>
    </w:p>
    <w:p w:rsidR="003C593D" w:rsidRDefault="003C593D" w:rsidP="003C593D">
      <w:pPr>
        <w:ind w:firstLine="567"/>
        <w:jc w:val="both"/>
      </w:pPr>
      <w:r>
        <w:t>H</w:t>
      </w:r>
      <w:r w:rsidRPr="00656E65">
        <w:t>igh thoracic epidural anesthesia in cardiac surgery</w:t>
      </w:r>
      <w:r>
        <w:t xml:space="preserve"> is currently an area of interest since a number of </w:t>
      </w:r>
      <w:r w:rsidRPr="00656E65">
        <w:t xml:space="preserve">studies </w:t>
      </w:r>
      <w:r>
        <w:t>showed that</w:t>
      </w:r>
      <w:r w:rsidRPr="00656E65">
        <w:t xml:space="preserve"> central neuroaxial </w:t>
      </w:r>
      <w:r>
        <w:t>blockade</w:t>
      </w:r>
      <w:r w:rsidRPr="00656E65">
        <w:t xml:space="preserve"> </w:t>
      </w:r>
      <w:r>
        <w:t>decreases</w:t>
      </w:r>
      <w:r w:rsidRPr="00656E65">
        <w:t xml:space="preserve"> the response to surgical stress (sternotomy and cardiopulmonary bypass </w:t>
      </w:r>
      <w:r>
        <w:t>lead to</w:t>
      </w:r>
      <w:r w:rsidRPr="00656E65">
        <w:t xml:space="preserve"> </w:t>
      </w:r>
      <w:r>
        <w:t>enhanced</w:t>
      </w:r>
      <w:r w:rsidRPr="00656E65">
        <w:t xml:space="preserve"> catecholamine response</w:t>
      </w:r>
      <w:r>
        <w:t>)</w:t>
      </w:r>
      <w:r w:rsidRPr="002834C9">
        <w:t xml:space="preserve"> </w:t>
      </w:r>
      <w:r w:rsidRPr="00656E65">
        <w:t xml:space="preserve">and improves myocardial metabolism, </w:t>
      </w:r>
      <w:r>
        <w:t>and therefore</w:t>
      </w:r>
      <w:r w:rsidRPr="00656E65">
        <w:t xml:space="preserve"> enabl</w:t>
      </w:r>
      <w:r>
        <w:t>es</w:t>
      </w:r>
      <w:r w:rsidRPr="00656E65">
        <w:t xml:space="preserve"> earlier extubation and </w:t>
      </w:r>
      <w:r>
        <w:t>more comfortable</w:t>
      </w:r>
      <w:r w:rsidRPr="00656E65">
        <w:t xml:space="preserve"> postoperative course. </w:t>
      </w:r>
      <w:r w:rsidRPr="00573076">
        <w:rPr>
          <w:b/>
          <w:bCs/>
          <w:vertAlign w:val="superscript"/>
        </w:rPr>
        <w:t>(13)</w:t>
      </w:r>
      <w:r w:rsidRPr="00656E65">
        <w:t xml:space="preserve"> </w:t>
      </w:r>
    </w:p>
    <w:p w:rsidR="003C593D" w:rsidRPr="00573076" w:rsidRDefault="003C593D" w:rsidP="003C593D">
      <w:pPr>
        <w:pStyle w:val="NormalWeb"/>
        <w:shd w:val="clear" w:color="auto" w:fill="FFFFFF"/>
        <w:spacing w:before="240" w:beforeAutospacing="0" w:after="0" w:afterAutospacing="0"/>
        <w:jc w:val="both"/>
        <w:rPr>
          <w:b/>
          <w:bCs/>
          <w:sz w:val="28"/>
        </w:rPr>
      </w:pPr>
      <w:r>
        <w:rPr>
          <w:b/>
          <w:bCs/>
          <w:sz w:val="28"/>
        </w:rPr>
        <w:t>Aim of the study</w:t>
      </w:r>
    </w:p>
    <w:p w:rsidR="003C593D" w:rsidRPr="00656E65" w:rsidRDefault="003C593D" w:rsidP="003C593D">
      <w:pPr>
        <w:ind w:firstLine="567"/>
        <w:jc w:val="both"/>
      </w:pPr>
      <w:r w:rsidRPr="00656E65">
        <w:t xml:space="preserve">The aim of this study was to assess the impact of thoracic epidural analgesia, via a catheter </w:t>
      </w:r>
      <w:r>
        <w:t>inserted</w:t>
      </w:r>
      <w:r w:rsidRPr="00656E65">
        <w:t xml:space="preserve"> pre-operatively, on extubation time, and postoperative pain scores in patients undergoing mitral valve replacement surgery.</w:t>
      </w:r>
    </w:p>
    <w:p w:rsidR="003C593D" w:rsidRPr="00573076" w:rsidRDefault="003C593D" w:rsidP="003C593D">
      <w:pPr>
        <w:pStyle w:val="NormalWeb"/>
        <w:shd w:val="clear" w:color="auto" w:fill="FFFFFF"/>
        <w:spacing w:before="240" w:beforeAutospacing="0" w:after="0" w:afterAutospacing="0"/>
        <w:jc w:val="both"/>
        <w:rPr>
          <w:b/>
          <w:bCs/>
          <w:sz w:val="28"/>
        </w:rPr>
      </w:pPr>
      <w:r w:rsidRPr="00573076">
        <w:rPr>
          <w:b/>
          <w:bCs/>
          <w:sz w:val="28"/>
        </w:rPr>
        <w:t>Patients and Methods</w:t>
      </w:r>
    </w:p>
    <w:p w:rsidR="003C593D" w:rsidRDefault="003C593D" w:rsidP="003C593D">
      <w:pPr>
        <w:pStyle w:val="NormalWeb"/>
        <w:shd w:val="clear" w:color="auto" w:fill="FFFFFF"/>
        <w:spacing w:before="0" w:beforeAutospacing="0" w:after="0" w:afterAutospacing="0"/>
        <w:ind w:firstLine="567"/>
        <w:jc w:val="both"/>
      </w:pPr>
      <w:r w:rsidRPr="00656E65">
        <w:t xml:space="preserve">This is a prospective randomized study. It was conducted at Sohag University Hospital from August 2009 to July 2011. Eighty four patients scheduled for elective mitral valve replacement surgery and aged 20 years or older were </w:t>
      </w:r>
      <w:r>
        <w:t>enrolled</w:t>
      </w:r>
      <w:r w:rsidRPr="00656E65">
        <w:t xml:space="preserve">. The study was approved by the </w:t>
      </w:r>
      <w:r>
        <w:t>Local</w:t>
      </w:r>
      <w:r w:rsidRPr="00656E65">
        <w:t xml:space="preserve"> </w:t>
      </w:r>
      <w:r>
        <w:t>Ethics</w:t>
      </w:r>
      <w:r w:rsidRPr="00656E65">
        <w:t xml:space="preserve"> </w:t>
      </w:r>
      <w:r>
        <w:t>C</w:t>
      </w:r>
      <w:r w:rsidRPr="00656E65">
        <w:t xml:space="preserve">ommittee. A written informed consent was obtained from </w:t>
      </w:r>
      <w:r>
        <w:t>all patients</w:t>
      </w:r>
      <w:r w:rsidRPr="00656E65">
        <w:t xml:space="preserve">. Exclusion criteria were severely depressed left ventricular ejection function (LVEF&lt;30%), congestive heart failure, preoperative hemodynamic instability, emergency surgery, acute myocardial infarction (MI), moderate to severe pulmonary hypertension (systolic &gt;50 mm Hg), previous cardiac surgery, </w:t>
      </w:r>
      <w:r>
        <w:t>and</w:t>
      </w:r>
      <w:r w:rsidRPr="00656E65">
        <w:t xml:space="preserve"> patient </w:t>
      </w:r>
      <w:r>
        <w:t>disagreement</w:t>
      </w:r>
      <w:r w:rsidRPr="00656E65">
        <w:t xml:space="preserve">. All routine cardiac medications were continued on the morning of surgery. </w:t>
      </w:r>
      <w:r>
        <w:t>H</w:t>
      </w:r>
      <w:r w:rsidRPr="00656E65">
        <w:t xml:space="preserve">eparin infusion </w:t>
      </w:r>
      <w:r w:rsidRPr="00656E65">
        <w:lastRenderedPageBreak/>
        <w:t xml:space="preserve">was </w:t>
      </w:r>
      <w:r>
        <w:t>discontinued</w:t>
      </w:r>
      <w:r w:rsidRPr="00656E65">
        <w:t xml:space="preserve"> at least 6 h</w:t>
      </w:r>
      <w:r>
        <w:t>ours</w:t>
      </w:r>
      <w:r w:rsidRPr="00656E65">
        <w:t xml:space="preserve"> before surgery. </w:t>
      </w:r>
      <w:r>
        <w:t>Contra-</w:t>
      </w:r>
      <w:r w:rsidRPr="00656E65">
        <w:t>indications for epidural catheterization were patient refusal, pre-existing coagulopathy, prothrombin time &gt;40 s, a low platelet count (&lt;100,000), the use of anti-platelet drugs within 5 days before surge</w:t>
      </w:r>
      <w:r>
        <w:t xml:space="preserve">ry (excluding aspirin), sepsis and </w:t>
      </w:r>
      <w:r w:rsidRPr="00656E65">
        <w:t xml:space="preserve">presence of a skin infection at the site of the catheter. </w:t>
      </w:r>
    </w:p>
    <w:p w:rsidR="003C593D" w:rsidRDefault="003C593D" w:rsidP="003C593D">
      <w:pPr>
        <w:pStyle w:val="NormalWeb"/>
        <w:shd w:val="clear" w:color="auto" w:fill="FFFFFF"/>
        <w:spacing w:before="0" w:beforeAutospacing="0" w:after="0" w:afterAutospacing="0"/>
        <w:ind w:firstLine="567"/>
        <w:jc w:val="both"/>
      </w:pPr>
      <w:r>
        <w:t>P</w:t>
      </w:r>
      <w:r w:rsidRPr="00656E65">
        <w:t xml:space="preserve">atients were </w:t>
      </w:r>
      <w:r w:rsidRPr="00D16CE1">
        <w:t>randomly allocated into two groups (42 patients each). Patients in the first group (TEA) subjected to combined general anesthesia and TEA while those in the second group (Opioid basedreceived opioid-based general anesthesia.</w:t>
      </w:r>
    </w:p>
    <w:p w:rsidR="003C593D" w:rsidRPr="00D16CE1" w:rsidRDefault="003C593D" w:rsidP="003C593D">
      <w:pPr>
        <w:pStyle w:val="NormalWeb"/>
        <w:shd w:val="clear" w:color="auto" w:fill="FFFFFF"/>
        <w:spacing w:before="0" w:beforeAutospacing="0" w:after="0" w:afterAutospacing="0"/>
        <w:ind w:firstLine="567"/>
        <w:jc w:val="both"/>
      </w:pPr>
    </w:p>
    <w:p w:rsidR="003C593D" w:rsidRPr="00656E65" w:rsidRDefault="003C593D" w:rsidP="003C593D">
      <w:pPr>
        <w:jc w:val="both"/>
        <w:rPr>
          <w:b/>
          <w:bCs/>
        </w:rPr>
      </w:pPr>
      <w:r w:rsidRPr="00656E65">
        <w:rPr>
          <w:b/>
          <w:bCs/>
        </w:rPr>
        <w:t xml:space="preserve">Anesthetic protocol </w:t>
      </w:r>
    </w:p>
    <w:p w:rsidR="003C593D" w:rsidRDefault="003C593D" w:rsidP="003C593D">
      <w:pPr>
        <w:ind w:firstLine="567"/>
        <w:jc w:val="both"/>
      </w:pPr>
      <w:r w:rsidRPr="00656E65">
        <w:t xml:space="preserve">One hour before anesthesia, all patients were premedicated with midazolam 1-2 mg </w:t>
      </w:r>
      <w:r>
        <w:t>intravenous (IV)</w:t>
      </w:r>
      <w:r w:rsidRPr="00656E65">
        <w:t xml:space="preserve"> to assist the institution of invasive monitoring and wide </w:t>
      </w:r>
      <w:r>
        <w:t>pore</w:t>
      </w:r>
      <w:r w:rsidRPr="00656E65">
        <w:t xml:space="preserve"> </w:t>
      </w:r>
      <w:r>
        <w:t>(</w:t>
      </w:r>
      <w:r w:rsidRPr="00656E65">
        <w:t>14-gauge</w:t>
      </w:r>
      <w:r>
        <w:t>)</w:t>
      </w:r>
      <w:r w:rsidRPr="00656E65">
        <w:t xml:space="preserve"> peripheral IV cannula. </w:t>
      </w:r>
    </w:p>
    <w:p w:rsidR="003C593D" w:rsidRDefault="003C593D" w:rsidP="003C593D">
      <w:pPr>
        <w:ind w:firstLine="567"/>
        <w:jc w:val="both"/>
      </w:pPr>
      <w:r w:rsidRPr="00656E65">
        <w:t>In the operative theatre, in the TEA group, 20 gauge</w:t>
      </w:r>
      <w:r>
        <w:t xml:space="preserve"> </w:t>
      </w:r>
      <w:r w:rsidRPr="00656E65">
        <w:t xml:space="preserve">epidural catheter was inserted through an 18 gauge Tuohy needle into the epidural space between T3 and T5 interspaces and the epidural space was confirmed by the hanging drop method. The catheter was advanced 3 cm cephalad into the epidural space. After an aspiration test for blood and </w:t>
      </w:r>
      <w:r>
        <w:t>cerebrospinal fluid</w:t>
      </w:r>
      <w:r w:rsidRPr="00656E65">
        <w:t>, a test dose with 2% lidocaine (3ml) was injected through the catheter</w:t>
      </w:r>
    </w:p>
    <w:p w:rsidR="003C593D" w:rsidRDefault="003C593D" w:rsidP="003C593D">
      <w:pPr>
        <w:ind w:firstLine="567"/>
        <w:jc w:val="both"/>
      </w:pPr>
      <w:r w:rsidRPr="00656E65">
        <w:t>Intraoperative monitoring include</w:t>
      </w:r>
      <w:r>
        <w:t>d</w:t>
      </w:r>
      <w:r w:rsidRPr="00656E65">
        <w:t xml:space="preserve"> pulse oximetry, electrocardiography </w:t>
      </w:r>
      <w:r>
        <w:t>and observation of central venous</w:t>
      </w:r>
      <w:r w:rsidRPr="00162649">
        <w:t xml:space="preserve"> </w:t>
      </w:r>
      <w:r>
        <w:t xml:space="preserve">pressure (CVP), </w:t>
      </w:r>
      <w:r w:rsidRPr="00656E65">
        <w:t xml:space="preserve">invasive arterial blood </w:t>
      </w:r>
      <w:r>
        <w:t>pressure</w:t>
      </w:r>
      <w:r w:rsidRPr="00656E65">
        <w:t>, end tidal CO</w:t>
      </w:r>
      <w:r w:rsidRPr="006E6132">
        <w:rPr>
          <w:vertAlign w:val="subscript"/>
        </w:rPr>
        <w:t>2</w:t>
      </w:r>
      <w:r w:rsidRPr="00656E65">
        <w:t xml:space="preserve">, core body temperature and urinary output.  </w:t>
      </w:r>
    </w:p>
    <w:p w:rsidR="003C593D" w:rsidRPr="00994B9F" w:rsidRDefault="003C593D" w:rsidP="003C593D">
      <w:pPr>
        <w:ind w:firstLine="567"/>
        <w:jc w:val="both"/>
        <w:rPr>
          <w:color w:val="FF0000"/>
        </w:rPr>
      </w:pPr>
      <w:r w:rsidRPr="00656E65">
        <w:t xml:space="preserve">For TEA group, 7 mL/kg of crystalloid solution was given over 20 minutes then; a bolus dose of 8-12 ml of bupivacaine 0.25% with 50-100µg </w:t>
      </w:r>
      <w:r w:rsidRPr="00656E65">
        <w:lastRenderedPageBreak/>
        <w:t xml:space="preserve">fentanyl injected in the epidural catheter (one hour before induction of the general anesthesia), was given as individual doses of 2 ml every 10 minutes. The extent of neural blockage was checked by a pinprick. General anesthesia was induced for TEA group with fentanyl (2µg/kg) plus thiopentone (5mg/kg) followed by propofol infusion at 6mg/kg/hour and pancuronium 0.1mg/kg was used for muscle relaxation until the end of </w:t>
      </w:r>
      <w:r>
        <w:t>cardiopulmonary bypass</w:t>
      </w:r>
      <w:r w:rsidRPr="00656E65">
        <w:t xml:space="preserve"> </w:t>
      </w:r>
      <w:r>
        <w:t>(</w:t>
      </w:r>
      <w:r w:rsidRPr="00656E65">
        <w:t>CPB</w:t>
      </w:r>
      <w:r>
        <w:t>)</w:t>
      </w:r>
      <w:r w:rsidRPr="00656E65">
        <w:t xml:space="preserve">. In the </w:t>
      </w:r>
      <w:r>
        <w:t>o</w:t>
      </w:r>
      <w:r w:rsidRPr="00656E65">
        <w:t>pioid based group, general anesthesia was induced</w:t>
      </w:r>
      <w:r>
        <w:t xml:space="preserve"> </w:t>
      </w:r>
      <w:r w:rsidRPr="00656E65">
        <w:t>with fentanyl (15µg/kg) plus thiopentone (5mg/kg) followed by propofol infusion at 6mg/kg and pancuronium 0.1mg/kg for muscle relaxation until the end of</w:t>
      </w:r>
      <w:r>
        <w:t xml:space="preserve"> CPB</w:t>
      </w:r>
      <w:r w:rsidRPr="00656E65">
        <w:t xml:space="preserve">. After weaning from CPB, anesthesia was gradually reduced and terminated after the last skin stitch. Minute ventilation was gradually reduced to allow carbon dioxide levels to increase and stimulate respiration. Spontaneous respiration was allowed after closure of the chest.  At the end of the operation, residual neuromuscular block was not reversed, and the patients were not extubated if there was prolonged cardiopulmonary bypass </w:t>
      </w:r>
      <w:r>
        <w:rPr>
          <w:sz w:val="20"/>
          <w:szCs w:val="20"/>
        </w:rPr>
        <w:t xml:space="preserve">&gt; </w:t>
      </w:r>
      <w:r>
        <w:t>2.5 hours</w:t>
      </w:r>
      <w:r w:rsidRPr="00656E65">
        <w:t>, hemodynamic instability, arrhythmias, morbid obesity, core temperature below 36°</w:t>
      </w:r>
      <w:r>
        <w:t xml:space="preserve"> </w:t>
      </w:r>
      <w:r w:rsidRPr="00656E65">
        <w:t xml:space="preserve">C, bleeding requiring platelet or clotting factor transfusion, or where adequate spontaneous ventilation was not achieved by the end of the operation (tidal volumes &lt;5-7ml/kg; oxygen saturation &lt; 95%; respiratory rate &gt; 25 breaths/min; or end-tidal CO2 tension &gt; 50 mm Hg). After the operation, the patients were transferred to the intensive care unit.  </w:t>
      </w:r>
    </w:p>
    <w:p w:rsidR="003C593D" w:rsidRPr="00656E65" w:rsidRDefault="003C593D" w:rsidP="003C593D">
      <w:pPr>
        <w:ind w:firstLine="567"/>
        <w:jc w:val="both"/>
      </w:pPr>
      <w:r w:rsidRPr="00656E65">
        <w:t xml:space="preserve">Two analgesic regimens were used in this study. For the TEA group, a continuous infusion of 0.125% bupivacaine and 2µg/mL of fentanyl was </w:t>
      </w:r>
      <w:r w:rsidRPr="00656E65">
        <w:lastRenderedPageBreak/>
        <w:t xml:space="preserve">used to maintain a dermatomal spread of T1–T10. The infusion rate varied from 5 to 15 ml/h and continued for 48 hours postoperatively, after which most patients required only oral analgesics. Patients of the </w:t>
      </w:r>
      <w:r>
        <w:t>o</w:t>
      </w:r>
      <w:r w:rsidRPr="00656E65">
        <w:t>pioid based group were given intravenous fentanyl infusion at a rate of</w:t>
      </w:r>
      <w:r>
        <w:t xml:space="preserve"> </w:t>
      </w:r>
      <w:r w:rsidRPr="00656E65">
        <w:t>50 µg/h. In both groups sternotomy wound and chest tube sites were infiltrated with 20 to 30 ml of 0.5% bupivacaine to a maximum dose of 2 mg/kg. The patients were asked to rate the severity of pain via a visual analog scale (VAS) ranging from no pain (</w:t>
      </w:r>
      <w:smartTag w:uri="urn:schemas-microsoft-com:office:smarttags" w:element="metricconverter">
        <w:smartTagPr>
          <w:attr w:name="ProductID" w:val="0 cm"/>
        </w:smartTagPr>
        <w:r w:rsidRPr="00656E65">
          <w:t>0 cm</w:t>
        </w:r>
      </w:smartTag>
      <w:r w:rsidRPr="00656E65">
        <w:t>) to worst possible pain (</w:t>
      </w:r>
      <w:smartTag w:uri="urn:schemas-microsoft-com:office:smarttags" w:element="metricconverter">
        <w:smartTagPr>
          <w:attr w:name="ProductID" w:val="10 cm"/>
        </w:smartTagPr>
        <w:r w:rsidRPr="00656E65">
          <w:t>10 cm</w:t>
        </w:r>
      </w:smartTag>
      <w:r w:rsidRPr="00656E65">
        <w:t>) at rest and on coughing. The use of these measures was explained to all patients before surgery. If the VAS was greater than 3, 25 µg fentanyl administered IV and could repeated on demand and total doses of postoperative fentanyl were recorded over 48 hours.</w:t>
      </w:r>
      <w:r>
        <w:t xml:space="preserve"> P</w:t>
      </w:r>
      <w:r w:rsidRPr="00656E65">
        <w:t xml:space="preserve">ain score  was monitored as the earliest possible time after extubation and every 2 hours till 6 hours, then every 6 hours till 48 hours after surgery. </w:t>
      </w:r>
    </w:p>
    <w:p w:rsidR="003C593D" w:rsidRPr="00853DC9" w:rsidRDefault="003C593D" w:rsidP="003C593D">
      <w:pPr>
        <w:autoSpaceDE w:val="0"/>
        <w:autoSpaceDN w:val="0"/>
        <w:adjustRightInd w:val="0"/>
        <w:spacing w:before="120"/>
        <w:jc w:val="both"/>
        <w:rPr>
          <w:rFonts w:asciiTheme="majorBidi" w:hAnsiTheme="majorBidi" w:cstheme="majorBidi"/>
        </w:rPr>
      </w:pPr>
      <w:r w:rsidRPr="00853DC9">
        <w:rPr>
          <w:rFonts w:asciiTheme="majorBidi" w:hAnsiTheme="majorBidi" w:cstheme="majorBidi"/>
          <w:b/>
          <w:bCs/>
        </w:rPr>
        <w:t>Operative technique</w:t>
      </w:r>
      <w:r>
        <w:rPr>
          <w:rFonts w:asciiTheme="majorBidi" w:hAnsiTheme="majorBidi" w:cstheme="majorBidi"/>
          <w:b/>
          <w:bCs/>
        </w:rPr>
        <w:t>:</w:t>
      </w:r>
    </w:p>
    <w:p w:rsidR="003C593D" w:rsidRDefault="003C593D" w:rsidP="003C593D">
      <w:pPr>
        <w:autoSpaceDE w:val="0"/>
        <w:autoSpaceDN w:val="0"/>
        <w:adjustRightInd w:val="0"/>
        <w:spacing w:before="120"/>
        <w:ind w:right="-341"/>
        <w:jc w:val="both"/>
        <w:rPr>
          <w:rFonts w:asciiTheme="majorBidi" w:hAnsiTheme="majorBidi" w:cstheme="majorBidi"/>
        </w:rPr>
      </w:pPr>
      <w:r>
        <w:rPr>
          <w:rFonts w:asciiTheme="majorBidi" w:hAnsiTheme="majorBidi" w:cstheme="majorBidi"/>
        </w:rPr>
        <w:tab/>
        <w:t>M</w:t>
      </w:r>
      <w:r w:rsidRPr="00853DC9">
        <w:rPr>
          <w:rFonts w:asciiTheme="majorBidi" w:hAnsiTheme="majorBidi" w:cstheme="majorBidi"/>
        </w:rPr>
        <w:t>edian sternotomy</w:t>
      </w:r>
      <w:r>
        <w:rPr>
          <w:rFonts w:asciiTheme="majorBidi" w:hAnsiTheme="majorBidi" w:cstheme="majorBidi"/>
        </w:rPr>
        <w:t xml:space="preserve"> </w:t>
      </w:r>
      <w:r w:rsidRPr="00853DC9">
        <w:rPr>
          <w:rFonts w:asciiTheme="majorBidi" w:hAnsiTheme="majorBidi" w:cstheme="majorBidi"/>
        </w:rPr>
        <w:t>and standard cardiopulmonary by</w:t>
      </w:r>
      <w:r>
        <w:rPr>
          <w:rFonts w:asciiTheme="majorBidi" w:hAnsiTheme="majorBidi" w:cstheme="majorBidi"/>
        </w:rPr>
        <w:t>p</w:t>
      </w:r>
      <w:r w:rsidRPr="00853DC9">
        <w:rPr>
          <w:rFonts w:asciiTheme="majorBidi" w:hAnsiTheme="majorBidi" w:cstheme="majorBidi"/>
        </w:rPr>
        <w:t>ass</w:t>
      </w:r>
      <w:r>
        <w:rPr>
          <w:rFonts w:asciiTheme="majorBidi" w:hAnsiTheme="majorBidi" w:cstheme="majorBidi"/>
        </w:rPr>
        <w:t xml:space="preserve"> </w:t>
      </w:r>
      <w:r w:rsidRPr="00853DC9">
        <w:rPr>
          <w:rFonts w:asciiTheme="majorBidi" w:hAnsiTheme="majorBidi" w:cstheme="majorBidi"/>
        </w:rPr>
        <w:t>with aortic and bicaval venous cannulation</w:t>
      </w:r>
      <w:r>
        <w:rPr>
          <w:rFonts w:asciiTheme="majorBidi" w:hAnsiTheme="majorBidi" w:cstheme="majorBidi"/>
        </w:rPr>
        <w:t xml:space="preserve"> was carried out </w:t>
      </w:r>
      <w:r w:rsidRPr="00853DC9">
        <w:rPr>
          <w:rFonts w:asciiTheme="majorBidi" w:hAnsiTheme="majorBidi" w:cstheme="majorBidi"/>
        </w:rPr>
        <w:t>for all patients.</w:t>
      </w:r>
      <w:r>
        <w:rPr>
          <w:rFonts w:asciiTheme="majorBidi" w:hAnsiTheme="majorBidi" w:cstheme="majorBidi"/>
        </w:rPr>
        <w:t xml:space="preserve"> </w:t>
      </w:r>
      <w:r w:rsidRPr="00853DC9">
        <w:rPr>
          <w:rFonts w:asciiTheme="majorBidi" w:hAnsiTheme="majorBidi" w:cstheme="majorBidi"/>
        </w:rPr>
        <w:t>Moderate</w:t>
      </w:r>
      <w:r>
        <w:rPr>
          <w:rFonts w:asciiTheme="majorBidi" w:hAnsiTheme="majorBidi" w:cstheme="majorBidi"/>
        </w:rPr>
        <w:t xml:space="preserve"> </w:t>
      </w:r>
      <w:r w:rsidRPr="00853DC9">
        <w:rPr>
          <w:rFonts w:asciiTheme="majorBidi" w:hAnsiTheme="majorBidi" w:cstheme="majorBidi"/>
        </w:rPr>
        <w:t>hypothermia (28-32ºC) and intermittent perfusions of cold blood cardioplegia in an antegrade cannula were used for myocardial protection. Posterior mitral valve apparatus preservation was our preferred technique and the ant</w:t>
      </w:r>
      <w:r>
        <w:rPr>
          <w:rFonts w:asciiTheme="majorBidi" w:hAnsiTheme="majorBidi" w:cstheme="majorBidi"/>
        </w:rPr>
        <w:t>i</w:t>
      </w:r>
      <w:r w:rsidRPr="00853DC9">
        <w:rPr>
          <w:rFonts w:asciiTheme="majorBidi" w:hAnsiTheme="majorBidi" w:cstheme="majorBidi"/>
        </w:rPr>
        <w:t xml:space="preserve"> anatomical</w:t>
      </w:r>
      <w:r>
        <w:rPr>
          <w:rFonts w:asciiTheme="majorBidi" w:hAnsiTheme="majorBidi" w:cstheme="majorBidi"/>
        </w:rPr>
        <w:t xml:space="preserve"> </w:t>
      </w:r>
      <w:r w:rsidRPr="00853DC9">
        <w:rPr>
          <w:rFonts w:asciiTheme="majorBidi" w:hAnsiTheme="majorBidi" w:cstheme="majorBidi"/>
        </w:rPr>
        <w:t xml:space="preserve">position was chosen for valve implantation. </w:t>
      </w:r>
      <w:r w:rsidRPr="00853DC9">
        <w:rPr>
          <w:rFonts w:asciiTheme="majorBidi" w:eastAsiaTheme="minorHAnsi" w:hAnsiTheme="majorBidi" w:cstheme="majorBidi"/>
        </w:rPr>
        <w:t xml:space="preserve">St Jude </w:t>
      </w:r>
      <w:r>
        <w:rPr>
          <w:rFonts w:asciiTheme="majorBidi" w:eastAsiaTheme="minorHAnsi" w:hAnsiTheme="majorBidi" w:cstheme="majorBidi"/>
        </w:rPr>
        <w:t xml:space="preserve">bileaflet mechanical valves </w:t>
      </w:r>
      <w:r w:rsidRPr="00853DC9">
        <w:rPr>
          <w:rFonts w:asciiTheme="majorBidi" w:eastAsiaTheme="minorHAnsi" w:hAnsiTheme="majorBidi" w:cstheme="majorBidi"/>
        </w:rPr>
        <w:t>(</w:t>
      </w:r>
      <w:r w:rsidRPr="00853DC9">
        <w:rPr>
          <w:rFonts w:asciiTheme="majorBidi" w:hAnsiTheme="majorBidi" w:cstheme="majorBidi"/>
          <w:lang w:bidi="ar-EG"/>
        </w:rPr>
        <w:t>St Jude medical</w:t>
      </w:r>
      <w:r>
        <w:rPr>
          <w:rFonts w:asciiTheme="majorBidi" w:hAnsiTheme="majorBidi" w:cstheme="majorBidi"/>
          <w:lang w:bidi="ar-EG"/>
        </w:rPr>
        <w:t>,</w:t>
      </w:r>
      <w:r w:rsidRPr="00853DC9">
        <w:rPr>
          <w:rFonts w:asciiTheme="majorBidi" w:hAnsiTheme="majorBidi" w:cstheme="majorBidi"/>
          <w:lang w:bidi="ar-EG"/>
        </w:rPr>
        <w:t xml:space="preserve"> MN</w:t>
      </w:r>
      <w:r>
        <w:rPr>
          <w:rFonts w:asciiTheme="majorBidi" w:hAnsiTheme="majorBidi" w:cstheme="majorBidi"/>
          <w:lang w:bidi="ar-EG"/>
        </w:rPr>
        <w:t>,</w:t>
      </w:r>
      <w:r w:rsidRPr="00853DC9">
        <w:rPr>
          <w:rFonts w:asciiTheme="majorBidi" w:hAnsiTheme="majorBidi" w:cstheme="majorBidi"/>
          <w:lang w:bidi="ar-EG"/>
        </w:rPr>
        <w:t xml:space="preserve"> USA</w:t>
      </w:r>
      <w:r w:rsidRPr="00853DC9">
        <w:rPr>
          <w:rFonts w:asciiTheme="majorBidi" w:eastAsiaTheme="minorHAnsi" w:hAnsiTheme="majorBidi" w:cstheme="majorBidi"/>
        </w:rPr>
        <w:t xml:space="preserve">) </w:t>
      </w:r>
      <w:r>
        <w:rPr>
          <w:rFonts w:asciiTheme="majorBidi" w:eastAsiaTheme="minorHAnsi" w:hAnsiTheme="majorBidi" w:cstheme="majorBidi"/>
        </w:rPr>
        <w:t>were implanted in all patients.</w:t>
      </w:r>
    </w:p>
    <w:p w:rsidR="003C593D" w:rsidRDefault="003C593D" w:rsidP="003C593D">
      <w:pPr>
        <w:jc w:val="both"/>
        <w:rPr>
          <w:b/>
          <w:bCs/>
        </w:rPr>
      </w:pPr>
    </w:p>
    <w:p w:rsidR="003C593D" w:rsidRPr="00656E65" w:rsidRDefault="003C593D" w:rsidP="003C593D">
      <w:pPr>
        <w:jc w:val="both"/>
        <w:rPr>
          <w:b/>
          <w:bCs/>
        </w:rPr>
      </w:pPr>
      <w:r w:rsidRPr="00656E65">
        <w:rPr>
          <w:b/>
          <w:bCs/>
        </w:rPr>
        <w:t>Statistical analysis</w:t>
      </w:r>
    </w:p>
    <w:p w:rsidR="003C593D" w:rsidRPr="00656E65" w:rsidRDefault="003C593D" w:rsidP="003C593D">
      <w:pPr>
        <w:ind w:firstLine="567"/>
        <w:jc w:val="both"/>
      </w:pPr>
      <w:r w:rsidRPr="00656E65">
        <w:t xml:space="preserve">Results were tabulated and statistical analysis was performed using </w:t>
      </w:r>
      <w:r>
        <w:t>IBM-</w:t>
      </w:r>
      <w:r w:rsidRPr="00656E65">
        <w:t xml:space="preserve">SPSS (version </w:t>
      </w:r>
      <w:r>
        <w:t xml:space="preserve">19 </w:t>
      </w:r>
      <w:r w:rsidRPr="00656E65">
        <w:t xml:space="preserve">Chicago </w:t>
      </w:r>
      <w:smartTag w:uri="urn:schemas-microsoft-com:office:smarttags" w:element="State">
        <w:r w:rsidRPr="00656E65">
          <w:t>Illinois</w:t>
        </w:r>
      </w:smartTag>
      <w:r w:rsidRPr="00656E65">
        <w:t xml:space="preserve">) software. Parametric data were </w:t>
      </w:r>
      <w:r w:rsidRPr="00656E65">
        <w:lastRenderedPageBreak/>
        <w:t xml:space="preserve">represented as mean± standard deviation and numbers. Comparison between groups was done using Mann-Whitney rank sum test for non parametric data </w:t>
      </w:r>
      <w:r w:rsidRPr="00656E65">
        <w:lastRenderedPageBreak/>
        <w:t>and unpaired t- test for parametric ones.</w:t>
      </w:r>
      <w:r>
        <w:t xml:space="preserve"> </w:t>
      </w:r>
      <w:r w:rsidRPr="00656E65">
        <w:t>Proportions were compared using Chi-Squared test. P value of &lt;0.05 was considered statistically significant.</w:t>
      </w:r>
    </w:p>
    <w:p w:rsidR="003C593D" w:rsidRDefault="003C593D" w:rsidP="003C593D">
      <w:pPr>
        <w:jc w:val="both"/>
        <w:rPr>
          <w:b/>
          <w:bCs/>
        </w:rPr>
        <w:sectPr w:rsidR="003C593D" w:rsidSect="004C1BC7">
          <w:type w:val="continuous"/>
          <w:pgSz w:w="12240" w:h="15840"/>
          <w:pgMar w:top="1440" w:right="1797" w:bottom="1440" w:left="1797" w:header="709" w:footer="709" w:gutter="0"/>
          <w:cols w:num="2" w:space="708" w:equalWidth="0">
            <w:col w:w="3969" w:space="708"/>
            <w:col w:w="3969"/>
          </w:cols>
          <w:titlePg/>
          <w:docGrid w:linePitch="360"/>
        </w:sectPr>
      </w:pPr>
    </w:p>
    <w:p w:rsidR="003C593D" w:rsidRPr="004C1BC7" w:rsidRDefault="003C593D" w:rsidP="003C593D">
      <w:pPr>
        <w:jc w:val="both"/>
        <w:rPr>
          <w:b/>
          <w:bCs/>
          <w:sz w:val="12"/>
          <w:szCs w:val="12"/>
        </w:rPr>
      </w:pPr>
    </w:p>
    <w:p w:rsidR="003C593D" w:rsidRPr="009B5E0D" w:rsidRDefault="003C593D" w:rsidP="003C593D">
      <w:pPr>
        <w:jc w:val="both"/>
        <w:rPr>
          <w:b/>
          <w:bCs/>
          <w:sz w:val="28"/>
          <w:szCs w:val="28"/>
        </w:rPr>
      </w:pPr>
      <w:r w:rsidRPr="009B5E0D">
        <w:rPr>
          <w:b/>
          <w:bCs/>
          <w:sz w:val="28"/>
          <w:szCs w:val="28"/>
        </w:rPr>
        <w:t xml:space="preserve">Results </w:t>
      </w:r>
    </w:p>
    <w:p w:rsidR="003C593D" w:rsidRDefault="003C593D" w:rsidP="003C593D">
      <w:pPr>
        <w:ind w:firstLine="567"/>
        <w:jc w:val="both"/>
      </w:pPr>
      <w:r w:rsidRPr="00656E65">
        <w:t xml:space="preserve">The age, sex, weight, height, ejection fraction and pulmonary artery pressure were comparable in the two groups (Table 1). Aortic cross-clamp time, cardiopulmonary bypass time and core body temperature at extubation were comparable in the two groups (Table 2). There was a statistically significant (P&lt;0.001) decrease in extubation time in TEA group compared with the </w:t>
      </w:r>
      <w:r>
        <w:t>o</w:t>
      </w:r>
      <w:r w:rsidRPr="00656E65">
        <w:t xml:space="preserve">pioid based group. No cases needed reintubation and ventilation and there was no mortality. </w:t>
      </w:r>
      <w:r>
        <w:t>Likewise,</w:t>
      </w:r>
      <w:r w:rsidRPr="00656E65">
        <w:t xml:space="preserve"> the total dose of fentanyl consumed over 48 </w:t>
      </w:r>
      <w:r>
        <w:t>hours</w:t>
      </w:r>
      <w:r w:rsidRPr="00656E65">
        <w:t xml:space="preserve"> was higher in </w:t>
      </w:r>
      <w:r>
        <w:t>o</w:t>
      </w:r>
      <w:r w:rsidRPr="00656E65">
        <w:t xml:space="preserve">pioid based group than that of TEA group (Table </w:t>
      </w:r>
      <w:r>
        <w:t>3</w:t>
      </w:r>
      <w:r w:rsidRPr="00656E65">
        <w:t xml:space="preserve">). Throughout the postoperative observational period, the pain scores were significantly lower in TEA group (P&lt;0.01) than in the </w:t>
      </w:r>
      <w:r>
        <w:t>o</w:t>
      </w:r>
      <w:r w:rsidRPr="00656E65">
        <w:t>pioid based group. The greatest difference</w:t>
      </w:r>
      <w:r>
        <w:t xml:space="preserve"> (</w:t>
      </w:r>
      <w:r>
        <w:sym w:font="Symbol" w:char="F02A"/>
      </w:r>
      <w:r>
        <w:t>)</w:t>
      </w:r>
      <w:r w:rsidRPr="00656E65">
        <w:t xml:space="preserve"> was seen at 2, 4, and 6 </w:t>
      </w:r>
      <w:r>
        <w:t>hours</w:t>
      </w:r>
      <w:r w:rsidRPr="00656E65">
        <w:t xml:space="preserve"> postoperatively (P&lt;0.001) in the pain scores measured at rest and on coughing, and the least differences</w:t>
      </w:r>
      <w:r>
        <w:t xml:space="preserve"> (</w:t>
      </w:r>
      <w:r>
        <w:sym w:font="Symbol" w:char="F0B7"/>
      </w:r>
      <w:r>
        <w:t>)</w:t>
      </w:r>
      <w:r w:rsidRPr="00656E65">
        <w:t xml:space="preserve"> between the two groups were observed at </w:t>
      </w:r>
      <w:r>
        <w:t>36, 42</w:t>
      </w:r>
      <w:r w:rsidRPr="00656E65">
        <w:t xml:space="preserve">, and </w:t>
      </w:r>
      <w:r>
        <w:t>48</w:t>
      </w:r>
      <w:r w:rsidRPr="00656E65">
        <w:t xml:space="preserve"> hrs postoperatively both at rest and on coughing (P&lt;0.05) (</w:t>
      </w:r>
      <w:r>
        <w:t>figure I and II</w:t>
      </w:r>
      <w:r w:rsidRPr="00656E65">
        <w:t>).</w:t>
      </w:r>
    </w:p>
    <w:p w:rsidR="003C593D" w:rsidRDefault="003C593D" w:rsidP="003C593D">
      <w:pPr>
        <w:ind w:firstLine="567"/>
        <w:jc w:val="both"/>
      </w:pPr>
      <w:r w:rsidRPr="00656E65">
        <w:t>Although the blood pressure, CVP, and heart rate were lower in TEA group than that of opiod based group</w:t>
      </w:r>
      <w:r>
        <w:t>,</w:t>
      </w:r>
      <w:r w:rsidRPr="00656E65">
        <w:t xml:space="preserve"> this was not statistically significant.</w:t>
      </w:r>
    </w:p>
    <w:p w:rsidR="003C593D" w:rsidRPr="00656E65" w:rsidRDefault="003C593D" w:rsidP="003C593D">
      <w:pPr>
        <w:ind w:firstLine="567"/>
        <w:jc w:val="both"/>
      </w:pPr>
      <w:r w:rsidRPr="00656E65">
        <w:t>No complications of high thoracic epidural anesthesia were detected e.g: neurological deficit resulted from possible epidural hematoma, bronchospasm due to sympathetic blockade of the bronchial tree or diaphragmatic paralysis due to pherenic nerve palsy.</w:t>
      </w:r>
    </w:p>
    <w:p w:rsidR="003C593D" w:rsidRPr="009B5E0D" w:rsidRDefault="003C593D" w:rsidP="003C593D">
      <w:pPr>
        <w:jc w:val="both"/>
        <w:rPr>
          <w:sz w:val="12"/>
          <w:szCs w:val="12"/>
        </w:rPr>
      </w:pPr>
      <w:r w:rsidRPr="009B5E0D">
        <w:rPr>
          <w:sz w:val="12"/>
          <w:szCs w:val="12"/>
        </w:rPr>
        <w:t xml:space="preserve"> </w:t>
      </w:r>
    </w:p>
    <w:p w:rsidR="003C593D" w:rsidRDefault="003C593D" w:rsidP="003C593D">
      <w:pPr>
        <w:autoSpaceDE w:val="0"/>
        <w:autoSpaceDN w:val="0"/>
        <w:adjustRightInd w:val="0"/>
        <w:jc w:val="center"/>
        <w:rPr>
          <w:b/>
          <w:bCs/>
        </w:rPr>
      </w:pPr>
      <w:r w:rsidRPr="00656E65">
        <w:rPr>
          <w:b/>
          <w:bCs/>
        </w:rPr>
        <w:t xml:space="preserve">Table 1: </w:t>
      </w:r>
      <w:r w:rsidRPr="0020730A">
        <w:t>Patients characteristics</w:t>
      </w:r>
    </w:p>
    <w:tbl>
      <w:tblPr>
        <w:tblW w:w="8897" w:type="dxa"/>
        <w:tblBorders>
          <w:top w:val="single" w:sz="12" w:space="0" w:color="008000"/>
          <w:bottom w:val="single" w:sz="12" w:space="0" w:color="008000"/>
        </w:tblBorders>
        <w:tblLook w:val="04A0"/>
      </w:tblPr>
      <w:tblGrid>
        <w:gridCol w:w="2802"/>
        <w:gridCol w:w="2215"/>
        <w:gridCol w:w="2908"/>
        <w:gridCol w:w="972"/>
      </w:tblGrid>
      <w:tr w:rsidR="003C593D" w:rsidRPr="00FF50FC" w:rsidTr="009952B6">
        <w:tc>
          <w:tcPr>
            <w:tcW w:w="2802" w:type="dxa"/>
            <w:tcBorders>
              <w:bottom w:val="single" w:sz="6" w:space="0" w:color="008000"/>
            </w:tcBorders>
            <w:shd w:val="clear" w:color="auto" w:fill="auto"/>
          </w:tcPr>
          <w:p w:rsidR="003C593D" w:rsidRPr="00FF50FC" w:rsidRDefault="003C593D" w:rsidP="009952B6">
            <w:pPr>
              <w:autoSpaceDE w:val="0"/>
              <w:autoSpaceDN w:val="0"/>
              <w:adjustRightInd w:val="0"/>
              <w:jc w:val="center"/>
              <w:rPr>
                <w:b/>
                <w:bCs/>
                <w:lang w:bidi="ar-EG"/>
              </w:rPr>
            </w:pPr>
          </w:p>
        </w:tc>
        <w:tc>
          <w:tcPr>
            <w:tcW w:w="2215" w:type="dxa"/>
            <w:tcBorders>
              <w:bottom w:val="single" w:sz="6" w:space="0" w:color="008000"/>
            </w:tcBorders>
            <w:shd w:val="clear" w:color="auto" w:fill="auto"/>
          </w:tcPr>
          <w:p w:rsidR="003C593D" w:rsidRPr="00FF50FC" w:rsidRDefault="003C593D" w:rsidP="009952B6">
            <w:pPr>
              <w:autoSpaceDE w:val="0"/>
              <w:autoSpaceDN w:val="0"/>
              <w:adjustRightInd w:val="0"/>
              <w:jc w:val="center"/>
              <w:rPr>
                <w:b/>
                <w:bCs/>
                <w:lang w:bidi="ar-EG"/>
              </w:rPr>
            </w:pPr>
            <w:r w:rsidRPr="00FF50FC">
              <w:rPr>
                <w:b/>
                <w:bCs/>
                <w:sz w:val="22"/>
                <w:szCs w:val="22"/>
                <w:lang w:bidi="ar-EG"/>
              </w:rPr>
              <w:t>TEA group (n=42)</w:t>
            </w:r>
          </w:p>
        </w:tc>
        <w:tc>
          <w:tcPr>
            <w:tcW w:w="2908" w:type="dxa"/>
            <w:tcBorders>
              <w:bottom w:val="single" w:sz="6" w:space="0" w:color="008000"/>
            </w:tcBorders>
            <w:shd w:val="clear" w:color="auto" w:fill="auto"/>
          </w:tcPr>
          <w:p w:rsidR="003C593D" w:rsidRPr="00FF50FC" w:rsidRDefault="003C593D" w:rsidP="009952B6">
            <w:pPr>
              <w:autoSpaceDE w:val="0"/>
              <w:autoSpaceDN w:val="0"/>
              <w:adjustRightInd w:val="0"/>
              <w:jc w:val="center"/>
              <w:rPr>
                <w:b/>
                <w:bCs/>
              </w:rPr>
            </w:pPr>
            <w:r w:rsidRPr="00FF50FC">
              <w:rPr>
                <w:b/>
                <w:bCs/>
                <w:sz w:val="22"/>
                <w:szCs w:val="22"/>
              </w:rPr>
              <w:t>Opioid bases group (n=42)</w:t>
            </w:r>
          </w:p>
        </w:tc>
        <w:tc>
          <w:tcPr>
            <w:tcW w:w="972" w:type="dxa"/>
            <w:tcBorders>
              <w:bottom w:val="single" w:sz="6" w:space="0" w:color="008000"/>
            </w:tcBorders>
            <w:shd w:val="clear" w:color="auto" w:fill="auto"/>
          </w:tcPr>
          <w:p w:rsidR="003C593D" w:rsidRPr="00FF50FC" w:rsidRDefault="003C593D" w:rsidP="009952B6">
            <w:pPr>
              <w:autoSpaceDE w:val="0"/>
              <w:autoSpaceDN w:val="0"/>
              <w:adjustRightInd w:val="0"/>
              <w:jc w:val="center"/>
              <w:rPr>
                <w:b/>
                <w:bCs/>
              </w:rPr>
            </w:pPr>
            <w:r w:rsidRPr="00FF50FC">
              <w:rPr>
                <w:b/>
                <w:bCs/>
                <w:sz w:val="22"/>
                <w:szCs w:val="22"/>
              </w:rPr>
              <w:t>P value</w:t>
            </w:r>
          </w:p>
        </w:tc>
      </w:tr>
      <w:tr w:rsidR="003C593D" w:rsidRPr="00FF50FC" w:rsidTr="009952B6">
        <w:tc>
          <w:tcPr>
            <w:tcW w:w="2802" w:type="dxa"/>
            <w:shd w:val="clear" w:color="auto" w:fill="auto"/>
          </w:tcPr>
          <w:p w:rsidR="003C593D" w:rsidRPr="00FF50FC" w:rsidRDefault="003C593D" w:rsidP="009952B6">
            <w:pPr>
              <w:autoSpaceDE w:val="0"/>
              <w:autoSpaceDN w:val="0"/>
              <w:adjustRightInd w:val="0"/>
              <w:jc w:val="center"/>
              <w:rPr>
                <w:b/>
                <w:bCs/>
              </w:rPr>
            </w:pPr>
            <w:r w:rsidRPr="00FF50FC">
              <w:rPr>
                <w:b/>
                <w:bCs/>
                <w:sz w:val="22"/>
                <w:szCs w:val="22"/>
              </w:rPr>
              <w:t>Age (years)</w:t>
            </w:r>
          </w:p>
        </w:tc>
        <w:tc>
          <w:tcPr>
            <w:tcW w:w="2215" w:type="dxa"/>
            <w:shd w:val="clear" w:color="auto" w:fill="auto"/>
          </w:tcPr>
          <w:p w:rsidR="003C593D" w:rsidRPr="00FF50FC" w:rsidRDefault="003C593D" w:rsidP="009952B6">
            <w:pPr>
              <w:autoSpaceDE w:val="0"/>
              <w:autoSpaceDN w:val="0"/>
              <w:adjustRightInd w:val="0"/>
              <w:jc w:val="center"/>
            </w:pPr>
            <w:r w:rsidRPr="00FF50FC">
              <w:rPr>
                <w:sz w:val="22"/>
                <w:szCs w:val="22"/>
              </w:rPr>
              <w:t>22.47±5.21</w:t>
            </w:r>
          </w:p>
        </w:tc>
        <w:tc>
          <w:tcPr>
            <w:tcW w:w="2908" w:type="dxa"/>
            <w:shd w:val="clear" w:color="auto" w:fill="auto"/>
          </w:tcPr>
          <w:p w:rsidR="003C593D" w:rsidRPr="00FF50FC" w:rsidRDefault="003C593D" w:rsidP="009952B6">
            <w:pPr>
              <w:autoSpaceDE w:val="0"/>
              <w:autoSpaceDN w:val="0"/>
              <w:adjustRightInd w:val="0"/>
              <w:jc w:val="center"/>
            </w:pPr>
            <w:r w:rsidRPr="00FF50FC">
              <w:rPr>
                <w:sz w:val="22"/>
                <w:szCs w:val="22"/>
              </w:rPr>
              <w:t>23.52±3.96</w:t>
            </w:r>
          </w:p>
        </w:tc>
        <w:tc>
          <w:tcPr>
            <w:tcW w:w="972" w:type="dxa"/>
            <w:shd w:val="clear" w:color="auto" w:fill="auto"/>
          </w:tcPr>
          <w:p w:rsidR="003C593D" w:rsidRPr="00FF50FC" w:rsidRDefault="003C593D" w:rsidP="009952B6">
            <w:pPr>
              <w:autoSpaceDE w:val="0"/>
              <w:autoSpaceDN w:val="0"/>
              <w:adjustRightInd w:val="0"/>
              <w:jc w:val="center"/>
            </w:pPr>
            <w:r w:rsidRPr="00FF50FC">
              <w:rPr>
                <w:sz w:val="22"/>
                <w:szCs w:val="22"/>
              </w:rPr>
              <w:t>0.301</w:t>
            </w:r>
          </w:p>
        </w:tc>
      </w:tr>
      <w:tr w:rsidR="003C593D" w:rsidRPr="00FF50FC" w:rsidTr="009952B6">
        <w:tc>
          <w:tcPr>
            <w:tcW w:w="2802" w:type="dxa"/>
            <w:shd w:val="clear" w:color="auto" w:fill="auto"/>
          </w:tcPr>
          <w:p w:rsidR="003C593D" w:rsidRPr="00FF50FC" w:rsidRDefault="003C593D" w:rsidP="009952B6">
            <w:pPr>
              <w:autoSpaceDE w:val="0"/>
              <w:autoSpaceDN w:val="0"/>
              <w:adjustRightInd w:val="0"/>
              <w:jc w:val="center"/>
              <w:rPr>
                <w:b/>
                <w:bCs/>
              </w:rPr>
            </w:pPr>
            <w:r w:rsidRPr="00FF50FC">
              <w:rPr>
                <w:b/>
                <w:bCs/>
                <w:sz w:val="22"/>
                <w:szCs w:val="22"/>
              </w:rPr>
              <w:t>Sex (M/F)</w:t>
            </w:r>
          </w:p>
        </w:tc>
        <w:tc>
          <w:tcPr>
            <w:tcW w:w="2215" w:type="dxa"/>
            <w:shd w:val="clear" w:color="auto" w:fill="auto"/>
          </w:tcPr>
          <w:p w:rsidR="003C593D" w:rsidRPr="00FF50FC" w:rsidRDefault="003C593D" w:rsidP="009952B6">
            <w:pPr>
              <w:autoSpaceDE w:val="0"/>
              <w:autoSpaceDN w:val="0"/>
              <w:adjustRightInd w:val="0"/>
              <w:jc w:val="center"/>
            </w:pPr>
            <w:r w:rsidRPr="00FF50FC">
              <w:rPr>
                <w:sz w:val="22"/>
                <w:szCs w:val="22"/>
              </w:rPr>
              <w:t>19/23</w:t>
            </w:r>
          </w:p>
        </w:tc>
        <w:tc>
          <w:tcPr>
            <w:tcW w:w="2908" w:type="dxa"/>
            <w:shd w:val="clear" w:color="auto" w:fill="auto"/>
          </w:tcPr>
          <w:p w:rsidR="003C593D" w:rsidRPr="00FF50FC" w:rsidRDefault="003C593D" w:rsidP="009952B6">
            <w:pPr>
              <w:autoSpaceDE w:val="0"/>
              <w:autoSpaceDN w:val="0"/>
              <w:adjustRightInd w:val="0"/>
              <w:jc w:val="center"/>
            </w:pPr>
            <w:r w:rsidRPr="00FF50FC">
              <w:rPr>
                <w:sz w:val="22"/>
                <w:szCs w:val="22"/>
              </w:rPr>
              <w:t>18/24</w:t>
            </w:r>
          </w:p>
        </w:tc>
        <w:tc>
          <w:tcPr>
            <w:tcW w:w="972" w:type="dxa"/>
            <w:shd w:val="clear" w:color="auto" w:fill="auto"/>
          </w:tcPr>
          <w:p w:rsidR="003C593D" w:rsidRPr="00FF50FC" w:rsidRDefault="003C593D" w:rsidP="009952B6">
            <w:pPr>
              <w:autoSpaceDE w:val="0"/>
              <w:autoSpaceDN w:val="0"/>
              <w:adjustRightInd w:val="0"/>
              <w:jc w:val="center"/>
            </w:pPr>
            <w:r w:rsidRPr="00FF50FC">
              <w:rPr>
                <w:sz w:val="22"/>
                <w:szCs w:val="22"/>
              </w:rPr>
              <w:t>0.826</w:t>
            </w:r>
          </w:p>
        </w:tc>
      </w:tr>
      <w:tr w:rsidR="003C593D" w:rsidRPr="00FF50FC" w:rsidTr="009952B6">
        <w:tc>
          <w:tcPr>
            <w:tcW w:w="2802" w:type="dxa"/>
            <w:shd w:val="clear" w:color="auto" w:fill="auto"/>
          </w:tcPr>
          <w:p w:rsidR="003C593D" w:rsidRPr="00FF50FC" w:rsidRDefault="003C593D" w:rsidP="009952B6">
            <w:pPr>
              <w:autoSpaceDE w:val="0"/>
              <w:autoSpaceDN w:val="0"/>
              <w:adjustRightInd w:val="0"/>
              <w:jc w:val="center"/>
              <w:rPr>
                <w:b/>
                <w:bCs/>
              </w:rPr>
            </w:pPr>
            <w:r w:rsidRPr="00FF50FC">
              <w:rPr>
                <w:b/>
                <w:bCs/>
                <w:sz w:val="22"/>
                <w:szCs w:val="22"/>
              </w:rPr>
              <w:t>Weight (kg)</w:t>
            </w:r>
          </w:p>
        </w:tc>
        <w:tc>
          <w:tcPr>
            <w:tcW w:w="2215" w:type="dxa"/>
            <w:shd w:val="clear" w:color="auto" w:fill="auto"/>
          </w:tcPr>
          <w:p w:rsidR="003C593D" w:rsidRPr="00FF50FC" w:rsidRDefault="003C593D" w:rsidP="009952B6">
            <w:pPr>
              <w:autoSpaceDE w:val="0"/>
              <w:autoSpaceDN w:val="0"/>
              <w:adjustRightInd w:val="0"/>
              <w:jc w:val="center"/>
              <w:rPr>
                <w:b/>
                <w:bCs/>
              </w:rPr>
            </w:pPr>
            <w:r w:rsidRPr="00FF50FC">
              <w:rPr>
                <w:sz w:val="22"/>
                <w:szCs w:val="22"/>
              </w:rPr>
              <w:t>52.32±11.12</w:t>
            </w:r>
          </w:p>
        </w:tc>
        <w:tc>
          <w:tcPr>
            <w:tcW w:w="2908" w:type="dxa"/>
            <w:shd w:val="clear" w:color="auto" w:fill="auto"/>
          </w:tcPr>
          <w:p w:rsidR="003C593D" w:rsidRPr="00FF50FC" w:rsidRDefault="003C593D" w:rsidP="009952B6">
            <w:pPr>
              <w:autoSpaceDE w:val="0"/>
              <w:autoSpaceDN w:val="0"/>
              <w:adjustRightInd w:val="0"/>
              <w:jc w:val="center"/>
              <w:rPr>
                <w:b/>
                <w:bCs/>
              </w:rPr>
            </w:pPr>
            <w:r w:rsidRPr="00FF50FC">
              <w:rPr>
                <w:sz w:val="22"/>
                <w:szCs w:val="22"/>
              </w:rPr>
              <w:t>54.11±10.14</w:t>
            </w:r>
          </w:p>
        </w:tc>
        <w:tc>
          <w:tcPr>
            <w:tcW w:w="972" w:type="dxa"/>
            <w:shd w:val="clear" w:color="auto" w:fill="auto"/>
          </w:tcPr>
          <w:p w:rsidR="003C593D" w:rsidRPr="00FF50FC" w:rsidRDefault="003C593D" w:rsidP="009952B6">
            <w:pPr>
              <w:autoSpaceDE w:val="0"/>
              <w:autoSpaceDN w:val="0"/>
              <w:adjustRightInd w:val="0"/>
              <w:jc w:val="center"/>
              <w:rPr>
                <w:b/>
                <w:bCs/>
              </w:rPr>
            </w:pPr>
            <w:r w:rsidRPr="00FF50FC">
              <w:rPr>
                <w:sz w:val="22"/>
                <w:szCs w:val="22"/>
              </w:rPr>
              <w:t>0.443</w:t>
            </w:r>
          </w:p>
        </w:tc>
      </w:tr>
      <w:tr w:rsidR="003C593D" w:rsidRPr="00FF50FC" w:rsidTr="009952B6">
        <w:tc>
          <w:tcPr>
            <w:tcW w:w="2802" w:type="dxa"/>
            <w:shd w:val="clear" w:color="auto" w:fill="auto"/>
          </w:tcPr>
          <w:p w:rsidR="003C593D" w:rsidRPr="00FF50FC" w:rsidRDefault="003C593D" w:rsidP="009952B6">
            <w:pPr>
              <w:autoSpaceDE w:val="0"/>
              <w:autoSpaceDN w:val="0"/>
              <w:adjustRightInd w:val="0"/>
              <w:jc w:val="center"/>
              <w:rPr>
                <w:b/>
                <w:bCs/>
              </w:rPr>
            </w:pPr>
            <w:r w:rsidRPr="00FF50FC">
              <w:rPr>
                <w:b/>
                <w:bCs/>
                <w:sz w:val="22"/>
                <w:szCs w:val="22"/>
              </w:rPr>
              <w:t>Height (cm)</w:t>
            </w:r>
          </w:p>
        </w:tc>
        <w:tc>
          <w:tcPr>
            <w:tcW w:w="2215" w:type="dxa"/>
            <w:shd w:val="clear" w:color="auto" w:fill="auto"/>
          </w:tcPr>
          <w:p w:rsidR="003C593D" w:rsidRPr="00FF50FC" w:rsidRDefault="003C593D" w:rsidP="009952B6">
            <w:pPr>
              <w:autoSpaceDE w:val="0"/>
              <w:autoSpaceDN w:val="0"/>
              <w:adjustRightInd w:val="0"/>
              <w:jc w:val="center"/>
              <w:rPr>
                <w:b/>
                <w:bCs/>
              </w:rPr>
            </w:pPr>
            <w:r w:rsidRPr="00FF50FC">
              <w:rPr>
                <w:sz w:val="22"/>
                <w:szCs w:val="22"/>
              </w:rPr>
              <w:t>169.45±11.23</w:t>
            </w:r>
          </w:p>
        </w:tc>
        <w:tc>
          <w:tcPr>
            <w:tcW w:w="2908" w:type="dxa"/>
            <w:shd w:val="clear" w:color="auto" w:fill="auto"/>
          </w:tcPr>
          <w:p w:rsidR="003C593D" w:rsidRPr="00FF50FC" w:rsidRDefault="003C593D" w:rsidP="009952B6">
            <w:pPr>
              <w:autoSpaceDE w:val="0"/>
              <w:autoSpaceDN w:val="0"/>
              <w:adjustRightInd w:val="0"/>
              <w:jc w:val="center"/>
              <w:rPr>
                <w:b/>
                <w:bCs/>
              </w:rPr>
            </w:pPr>
            <w:r w:rsidRPr="00FF50FC">
              <w:rPr>
                <w:sz w:val="22"/>
                <w:szCs w:val="22"/>
              </w:rPr>
              <w:t>171.13±10.24</w:t>
            </w:r>
          </w:p>
        </w:tc>
        <w:tc>
          <w:tcPr>
            <w:tcW w:w="972" w:type="dxa"/>
            <w:shd w:val="clear" w:color="auto" w:fill="auto"/>
          </w:tcPr>
          <w:p w:rsidR="003C593D" w:rsidRPr="00FF50FC" w:rsidRDefault="003C593D" w:rsidP="009952B6">
            <w:pPr>
              <w:autoSpaceDE w:val="0"/>
              <w:autoSpaceDN w:val="0"/>
              <w:adjustRightInd w:val="0"/>
              <w:jc w:val="center"/>
              <w:rPr>
                <w:b/>
                <w:bCs/>
              </w:rPr>
            </w:pPr>
            <w:r w:rsidRPr="00FF50FC">
              <w:rPr>
                <w:sz w:val="22"/>
                <w:szCs w:val="22"/>
              </w:rPr>
              <w:t>0.476</w:t>
            </w:r>
          </w:p>
        </w:tc>
      </w:tr>
      <w:tr w:rsidR="003C593D" w:rsidRPr="00FF50FC" w:rsidTr="009952B6">
        <w:tc>
          <w:tcPr>
            <w:tcW w:w="2802" w:type="dxa"/>
            <w:shd w:val="clear" w:color="auto" w:fill="auto"/>
          </w:tcPr>
          <w:p w:rsidR="003C593D" w:rsidRPr="00FF50FC" w:rsidRDefault="003C593D" w:rsidP="009952B6">
            <w:pPr>
              <w:autoSpaceDE w:val="0"/>
              <w:autoSpaceDN w:val="0"/>
              <w:adjustRightInd w:val="0"/>
              <w:jc w:val="center"/>
              <w:rPr>
                <w:b/>
                <w:bCs/>
              </w:rPr>
            </w:pPr>
            <w:r w:rsidRPr="00FF50FC">
              <w:rPr>
                <w:b/>
                <w:bCs/>
                <w:sz w:val="22"/>
                <w:szCs w:val="22"/>
              </w:rPr>
              <w:t>Ejection fraction</w:t>
            </w:r>
          </w:p>
        </w:tc>
        <w:tc>
          <w:tcPr>
            <w:tcW w:w="2215" w:type="dxa"/>
            <w:shd w:val="clear" w:color="auto" w:fill="auto"/>
          </w:tcPr>
          <w:p w:rsidR="003C593D" w:rsidRPr="00FF50FC" w:rsidRDefault="003C593D" w:rsidP="009952B6">
            <w:pPr>
              <w:autoSpaceDE w:val="0"/>
              <w:autoSpaceDN w:val="0"/>
              <w:adjustRightInd w:val="0"/>
              <w:jc w:val="center"/>
              <w:rPr>
                <w:b/>
                <w:bCs/>
              </w:rPr>
            </w:pPr>
            <w:r w:rsidRPr="00FF50FC">
              <w:rPr>
                <w:sz w:val="22"/>
                <w:szCs w:val="22"/>
              </w:rPr>
              <w:t>57±4.5</w:t>
            </w:r>
          </w:p>
        </w:tc>
        <w:tc>
          <w:tcPr>
            <w:tcW w:w="2908" w:type="dxa"/>
            <w:shd w:val="clear" w:color="auto" w:fill="auto"/>
          </w:tcPr>
          <w:p w:rsidR="003C593D" w:rsidRPr="00FF50FC" w:rsidRDefault="003C593D" w:rsidP="009952B6">
            <w:pPr>
              <w:autoSpaceDE w:val="0"/>
              <w:autoSpaceDN w:val="0"/>
              <w:adjustRightInd w:val="0"/>
              <w:jc w:val="center"/>
              <w:rPr>
                <w:b/>
                <w:bCs/>
              </w:rPr>
            </w:pPr>
            <w:r w:rsidRPr="00FF50FC">
              <w:rPr>
                <w:sz w:val="22"/>
                <w:szCs w:val="22"/>
              </w:rPr>
              <w:t>55±5.1</w:t>
            </w:r>
          </w:p>
        </w:tc>
        <w:tc>
          <w:tcPr>
            <w:tcW w:w="972" w:type="dxa"/>
            <w:shd w:val="clear" w:color="auto" w:fill="auto"/>
          </w:tcPr>
          <w:p w:rsidR="003C593D" w:rsidRPr="00FF50FC" w:rsidRDefault="003C593D" w:rsidP="009952B6">
            <w:pPr>
              <w:autoSpaceDE w:val="0"/>
              <w:autoSpaceDN w:val="0"/>
              <w:adjustRightInd w:val="0"/>
              <w:jc w:val="center"/>
              <w:rPr>
                <w:b/>
                <w:bCs/>
              </w:rPr>
            </w:pPr>
            <w:r w:rsidRPr="00FF50FC">
              <w:rPr>
                <w:sz w:val="22"/>
                <w:szCs w:val="22"/>
              </w:rPr>
              <w:t>0.060</w:t>
            </w:r>
          </w:p>
        </w:tc>
      </w:tr>
      <w:tr w:rsidR="003C593D" w:rsidRPr="00FF50FC" w:rsidTr="009952B6">
        <w:tc>
          <w:tcPr>
            <w:tcW w:w="2802" w:type="dxa"/>
            <w:shd w:val="clear" w:color="auto" w:fill="auto"/>
          </w:tcPr>
          <w:p w:rsidR="003C593D" w:rsidRPr="00FF50FC" w:rsidRDefault="003C593D" w:rsidP="009952B6">
            <w:pPr>
              <w:autoSpaceDE w:val="0"/>
              <w:autoSpaceDN w:val="0"/>
              <w:adjustRightInd w:val="0"/>
              <w:jc w:val="center"/>
              <w:rPr>
                <w:b/>
                <w:bCs/>
              </w:rPr>
            </w:pPr>
            <w:r w:rsidRPr="00FF50FC">
              <w:rPr>
                <w:b/>
                <w:bCs/>
                <w:sz w:val="22"/>
                <w:szCs w:val="22"/>
              </w:rPr>
              <w:t>Pulmonary artery pressure</w:t>
            </w:r>
          </w:p>
        </w:tc>
        <w:tc>
          <w:tcPr>
            <w:tcW w:w="2215" w:type="dxa"/>
            <w:shd w:val="clear" w:color="auto" w:fill="auto"/>
          </w:tcPr>
          <w:p w:rsidR="003C593D" w:rsidRPr="00FF50FC" w:rsidRDefault="003C593D" w:rsidP="009952B6">
            <w:pPr>
              <w:autoSpaceDE w:val="0"/>
              <w:autoSpaceDN w:val="0"/>
              <w:adjustRightInd w:val="0"/>
              <w:jc w:val="center"/>
              <w:rPr>
                <w:b/>
                <w:bCs/>
              </w:rPr>
            </w:pPr>
            <w:r w:rsidRPr="00FF50FC">
              <w:rPr>
                <w:sz w:val="22"/>
                <w:szCs w:val="22"/>
              </w:rPr>
              <w:t>45±3.7</w:t>
            </w:r>
          </w:p>
        </w:tc>
        <w:tc>
          <w:tcPr>
            <w:tcW w:w="2908" w:type="dxa"/>
            <w:shd w:val="clear" w:color="auto" w:fill="auto"/>
          </w:tcPr>
          <w:p w:rsidR="003C593D" w:rsidRPr="00FF50FC" w:rsidRDefault="003C593D" w:rsidP="009952B6">
            <w:pPr>
              <w:autoSpaceDE w:val="0"/>
              <w:autoSpaceDN w:val="0"/>
              <w:adjustRightInd w:val="0"/>
              <w:jc w:val="center"/>
              <w:rPr>
                <w:b/>
                <w:bCs/>
              </w:rPr>
            </w:pPr>
            <w:r w:rsidRPr="00FF50FC">
              <w:rPr>
                <w:sz w:val="22"/>
                <w:szCs w:val="22"/>
              </w:rPr>
              <w:t>44±2.9</w:t>
            </w:r>
          </w:p>
        </w:tc>
        <w:tc>
          <w:tcPr>
            <w:tcW w:w="972" w:type="dxa"/>
            <w:shd w:val="clear" w:color="auto" w:fill="auto"/>
          </w:tcPr>
          <w:p w:rsidR="003C593D" w:rsidRPr="00FF50FC" w:rsidRDefault="003C593D" w:rsidP="009952B6">
            <w:pPr>
              <w:autoSpaceDE w:val="0"/>
              <w:autoSpaceDN w:val="0"/>
              <w:adjustRightInd w:val="0"/>
              <w:jc w:val="center"/>
              <w:rPr>
                <w:b/>
                <w:bCs/>
              </w:rPr>
            </w:pPr>
            <w:r w:rsidRPr="00FF50FC">
              <w:rPr>
                <w:sz w:val="22"/>
                <w:szCs w:val="22"/>
              </w:rPr>
              <w:t>0.172</w:t>
            </w:r>
          </w:p>
        </w:tc>
      </w:tr>
    </w:tbl>
    <w:p w:rsidR="003C593D" w:rsidRPr="00F853F6" w:rsidRDefault="003C593D" w:rsidP="003C593D">
      <w:pPr>
        <w:autoSpaceDE w:val="0"/>
        <w:autoSpaceDN w:val="0"/>
        <w:adjustRightInd w:val="0"/>
        <w:jc w:val="both"/>
        <w:rPr>
          <w:b/>
          <w:bCs/>
          <w:sz w:val="12"/>
        </w:rPr>
      </w:pPr>
    </w:p>
    <w:p w:rsidR="003C593D" w:rsidRPr="00F42976" w:rsidRDefault="003C593D" w:rsidP="003C593D">
      <w:pPr>
        <w:autoSpaceDE w:val="0"/>
        <w:autoSpaceDN w:val="0"/>
        <w:adjustRightInd w:val="0"/>
        <w:jc w:val="both"/>
        <w:rPr>
          <w:b/>
          <w:bCs/>
          <w:sz w:val="12"/>
          <w:szCs w:val="12"/>
        </w:rPr>
      </w:pPr>
    </w:p>
    <w:p w:rsidR="003C593D" w:rsidRDefault="003C593D" w:rsidP="003C593D">
      <w:pPr>
        <w:autoSpaceDE w:val="0"/>
        <w:autoSpaceDN w:val="0"/>
        <w:adjustRightInd w:val="0"/>
        <w:jc w:val="center"/>
      </w:pPr>
      <w:r w:rsidRPr="005031ED">
        <w:rPr>
          <w:b/>
          <w:bCs/>
        </w:rPr>
        <w:t>Table 2:</w:t>
      </w:r>
      <w:r w:rsidRPr="005031ED">
        <w:t xml:space="preserve"> Surgical details</w:t>
      </w:r>
    </w:p>
    <w:tbl>
      <w:tblPr>
        <w:tblW w:w="8897" w:type="dxa"/>
        <w:tblBorders>
          <w:top w:val="single" w:sz="12" w:space="0" w:color="008000"/>
          <w:bottom w:val="single" w:sz="12" w:space="0" w:color="008000"/>
        </w:tblBorders>
        <w:tblLook w:val="04A0"/>
      </w:tblPr>
      <w:tblGrid>
        <w:gridCol w:w="4077"/>
        <w:gridCol w:w="1701"/>
        <w:gridCol w:w="2147"/>
        <w:gridCol w:w="972"/>
      </w:tblGrid>
      <w:tr w:rsidR="003C593D" w:rsidRPr="00F853F6" w:rsidTr="009952B6">
        <w:tc>
          <w:tcPr>
            <w:tcW w:w="4077" w:type="dxa"/>
            <w:shd w:val="clear" w:color="auto" w:fill="auto"/>
          </w:tcPr>
          <w:p w:rsidR="003C593D" w:rsidRPr="00F853F6" w:rsidRDefault="003C593D" w:rsidP="009952B6">
            <w:pPr>
              <w:autoSpaceDE w:val="0"/>
              <w:autoSpaceDN w:val="0"/>
              <w:adjustRightInd w:val="0"/>
              <w:jc w:val="center"/>
              <w:rPr>
                <w:b/>
                <w:bCs/>
                <w:lang w:bidi="ar-EG"/>
              </w:rPr>
            </w:pPr>
          </w:p>
        </w:tc>
        <w:tc>
          <w:tcPr>
            <w:tcW w:w="1701" w:type="dxa"/>
            <w:shd w:val="clear" w:color="auto" w:fill="auto"/>
          </w:tcPr>
          <w:p w:rsidR="003C593D" w:rsidRPr="00F853F6" w:rsidRDefault="003C593D" w:rsidP="009952B6">
            <w:pPr>
              <w:autoSpaceDE w:val="0"/>
              <w:autoSpaceDN w:val="0"/>
              <w:adjustRightInd w:val="0"/>
              <w:jc w:val="center"/>
              <w:rPr>
                <w:b/>
                <w:bCs/>
                <w:lang w:bidi="ar-EG"/>
              </w:rPr>
            </w:pPr>
            <w:r w:rsidRPr="00F853F6">
              <w:rPr>
                <w:b/>
                <w:bCs/>
                <w:sz w:val="22"/>
                <w:szCs w:val="22"/>
                <w:lang w:bidi="ar-EG"/>
              </w:rPr>
              <w:t>TEA group</w:t>
            </w:r>
          </w:p>
        </w:tc>
        <w:tc>
          <w:tcPr>
            <w:tcW w:w="2147" w:type="dxa"/>
            <w:shd w:val="clear" w:color="auto" w:fill="auto"/>
          </w:tcPr>
          <w:p w:rsidR="003C593D" w:rsidRPr="00F853F6" w:rsidRDefault="003C593D" w:rsidP="009952B6">
            <w:pPr>
              <w:autoSpaceDE w:val="0"/>
              <w:autoSpaceDN w:val="0"/>
              <w:adjustRightInd w:val="0"/>
              <w:jc w:val="center"/>
              <w:rPr>
                <w:b/>
                <w:bCs/>
              </w:rPr>
            </w:pPr>
            <w:r w:rsidRPr="00F853F6">
              <w:rPr>
                <w:b/>
                <w:bCs/>
                <w:sz w:val="22"/>
                <w:szCs w:val="22"/>
              </w:rPr>
              <w:t>Opioid bases group</w:t>
            </w:r>
          </w:p>
        </w:tc>
        <w:tc>
          <w:tcPr>
            <w:tcW w:w="972" w:type="dxa"/>
            <w:shd w:val="clear" w:color="auto" w:fill="auto"/>
          </w:tcPr>
          <w:p w:rsidR="003C593D" w:rsidRPr="00F853F6" w:rsidRDefault="003C593D" w:rsidP="009952B6">
            <w:pPr>
              <w:autoSpaceDE w:val="0"/>
              <w:autoSpaceDN w:val="0"/>
              <w:adjustRightInd w:val="0"/>
              <w:jc w:val="center"/>
              <w:rPr>
                <w:b/>
                <w:bCs/>
              </w:rPr>
            </w:pPr>
            <w:r w:rsidRPr="00F853F6">
              <w:rPr>
                <w:b/>
                <w:bCs/>
                <w:sz w:val="22"/>
                <w:szCs w:val="22"/>
              </w:rPr>
              <w:t>P value</w:t>
            </w:r>
          </w:p>
        </w:tc>
      </w:tr>
      <w:tr w:rsidR="003C593D" w:rsidRPr="00F853F6" w:rsidTr="009952B6">
        <w:tc>
          <w:tcPr>
            <w:tcW w:w="4077" w:type="dxa"/>
            <w:shd w:val="clear" w:color="auto" w:fill="auto"/>
          </w:tcPr>
          <w:p w:rsidR="003C593D" w:rsidRPr="00F853F6" w:rsidRDefault="003C593D" w:rsidP="009952B6">
            <w:pPr>
              <w:autoSpaceDE w:val="0"/>
              <w:autoSpaceDN w:val="0"/>
              <w:adjustRightInd w:val="0"/>
              <w:jc w:val="center"/>
              <w:rPr>
                <w:b/>
                <w:bCs/>
              </w:rPr>
            </w:pPr>
            <w:r w:rsidRPr="00F853F6">
              <w:rPr>
                <w:sz w:val="22"/>
                <w:szCs w:val="22"/>
              </w:rPr>
              <w:t>Cross-clamp time (min)</w:t>
            </w:r>
          </w:p>
        </w:tc>
        <w:tc>
          <w:tcPr>
            <w:tcW w:w="1701" w:type="dxa"/>
            <w:shd w:val="clear" w:color="auto" w:fill="auto"/>
          </w:tcPr>
          <w:p w:rsidR="003C593D" w:rsidRPr="00F853F6" w:rsidRDefault="003C593D" w:rsidP="009952B6">
            <w:pPr>
              <w:autoSpaceDE w:val="0"/>
              <w:autoSpaceDN w:val="0"/>
              <w:adjustRightInd w:val="0"/>
              <w:jc w:val="center"/>
            </w:pPr>
            <w:r w:rsidRPr="00F853F6">
              <w:rPr>
                <w:sz w:val="22"/>
                <w:szCs w:val="22"/>
              </w:rPr>
              <w:t>62±12</w:t>
            </w:r>
          </w:p>
        </w:tc>
        <w:tc>
          <w:tcPr>
            <w:tcW w:w="2147" w:type="dxa"/>
            <w:shd w:val="clear" w:color="auto" w:fill="auto"/>
          </w:tcPr>
          <w:p w:rsidR="003C593D" w:rsidRPr="00F853F6" w:rsidRDefault="003C593D" w:rsidP="009952B6">
            <w:pPr>
              <w:autoSpaceDE w:val="0"/>
              <w:autoSpaceDN w:val="0"/>
              <w:adjustRightInd w:val="0"/>
              <w:jc w:val="center"/>
            </w:pPr>
            <w:r w:rsidRPr="00F853F6">
              <w:rPr>
                <w:sz w:val="22"/>
                <w:szCs w:val="22"/>
              </w:rPr>
              <w:t>59±11</w:t>
            </w:r>
          </w:p>
        </w:tc>
        <w:tc>
          <w:tcPr>
            <w:tcW w:w="972" w:type="dxa"/>
            <w:shd w:val="clear" w:color="auto" w:fill="auto"/>
          </w:tcPr>
          <w:p w:rsidR="003C593D" w:rsidRPr="00F853F6" w:rsidRDefault="003C593D" w:rsidP="009952B6">
            <w:pPr>
              <w:autoSpaceDE w:val="0"/>
              <w:autoSpaceDN w:val="0"/>
              <w:adjustRightInd w:val="0"/>
              <w:jc w:val="center"/>
            </w:pPr>
            <w:r>
              <w:rPr>
                <w:sz w:val="22"/>
                <w:szCs w:val="22"/>
              </w:rPr>
              <w:t>0.236</w:t>
            </w:r>
          </w:p>
        </w:tc>
      </w:tr>
      <w:tr w:rsidR="003C593D" w:rsidRPr="00F853F6" w:rsidTr="009952B6">
        <w:tc>
          <w:tcPr>
            <w:tcW w:w="4077" w:type="dxa"/>
            <w:shd w:val="clear" w:color="auto" w:fill="auto"/>
          </w:tcPr>
          <w:p w:rsidR="003C593D" w:rsidRPr="00F853F6" w:rsidRDefault="003C593D" w:rsidP="009952B6">
            <w:pPr>
              <w:autoSpaceDE w:val="0"/>
              <w:autoSpaceDN w:val="0"/>
              <w:adjustRightInd w:val="0"/>
              <w:jc w:val="center"/>
              <w:rPr>
                <w:b/>
                <w:bCs/>
              </w:rPr>
            </w:pPr>
            <w:r w:rsidRPr="00F853F6">
              <w:rPr>
                <w:sz w:val="22"/>
                <w:szCs w:val="22"/>
              </w:rPr>
              <w:t>Cardiopulmonary bypass time (min)</w:t>
            </w:r>
          </w:p>
        </w:tc>
        <w:tc>
          <w:tcPr>
            <w:tcW w:w="1701" w:type="dxa"/>
            <w:shd w:val="clear" w:color="auto" w:fill="auto"/>
          </w:tcPr>
          <w:p w:rsidR="003C593D" w:rsidRPr="00F853F6" w:rsidRDefault="003C593D" w:rsidP="009952B6">
            <w:pPr>
              <w:autoSpaceDE w:val="0"/>
              <w:autoSpaceDN w:val="0"/>
              <w:adjustRightInd w:val="0"/>
              <w:jc w:val="center"/>
              <w:rPr>
                <w:b/>
                <w:bCs/>
              </w:rPr>
            </w:pPr>
            <w:r w:rsidRPr="00F853F6">
              <w:rPr>
                <w:sz w:val="22"/>
                <w:szCs w:val="22"/>
              </w:rPr>
              <w:t>78±15</w:t>
            </w:r>
          </w:p>
        </w:tc>
        <w:tc>
          <w:tcPr>
            <w:tcW w:w="2147" w:type="dxa"/>
            <w:shd w:val="clear" w:color="auto" w:fill="auto"/>
          </w:tcPr>
          <w:p w:rsidR="003C593D" w:rsidRPr="00F853F6" w:rsidRDefault="003C593D" w:rsidP="009952B6">
            <w:pPr>
              <w:autoSpaceDE w:val="0"/>
              <w:autoSpaceDN w:val="0"/>
              <w:adjustRightInd w:val="0"/>
              <w:jc w:val="center"/>
              <w:rPr>
                <w:b/>
                <w:bCs/>
              </w:rPr>
            </w:pPr>
            <w:r w:rsidRPr="00F853F6">
              <w:rPr>
                <w:sz w:val="22"/>
                <w:szCs w:val="22"/>
              </w:rPr>
              <w:t>72±17</w:t>
            </w:r>
          </w:p>
        </w:tc>
        <w:tc>
          <w:tcPr>
            <w:tcW w:w="972" w:type="dxa"/>
            <w:shd w:val="clear" w:color="auto" w:fill="auto"/>
          </w:tcPr>
          <w:p w:rsidR="003C593D" w:rsidRPr="00F853F6" w:rsidRDefault="003C593D" w:rsidP="009952B6">
            <w:pPr>
              <w:autoSpaceDE w:val="0"/>
              <w:autoSpaceDN w:val="0"/>
              <w:adjustRightInd w:val="0"/>
              <w:jc w:val="center"/>
            </w:pPr>
            <w:r w:rsidRPr="00F853F6">
              <w:rPr>
                <w:sz w:val="22"/>
                <w:szCs w:val="22"/>
              </w:rPr>
              <w:t>0.090</w:t>
            </w:r>
          </w:p>
        </w:tc>
      </w:tr>
      <w:tr w:rsidR="003C593D" w:rsidRPr="00F853F6" w:rsidTr="009952B6">
        <w:tc>
          <w:tcPr>
            <w:tcW w:w="4077" w:type="dxa"/>
            <w:shd w:val="clear" w:color="auto" w:fill="auto"/>
          </w:tcPr>
          <w:p w:rsidR="003C593D" w:rsidRPr="00F853F6" w:rsidRDefault="003C593D" w:rsidP="009952B6">
            <w:pPr>
              <w:autoSpaceDE w:val="0"/>
              <w:autoSpaceDN w:val="0"/>
              <w:adjustRightInd w:val="0"/>
              <w:jc w:val="center"/>
              <w:rPr>
                <w:b/>
                <w:bCs/>
              </w:rPr>
            </w:pPr>
            <w:r w:rsidRPr="00F853F6">
              <w:rPr>
                <w:sz w:val="22"/>
                <w:szCs w:val="22"/>
              </w:rPr>
              <w:t>Core body temperature at extubation</w:t>
            </w:r>
          </w:p>
        </w:tc>
        <w:tc>
          <w:tcPr>
            <w:tcW w:w="1701" w:type="dxa"/>
            <w:shd w:val="clear" w:color="auto" w:fill="auto"/>
          </w:tcPr>
          <w:p w:rsidR="003C593D" w:rsidRPr="00F853F6" w:rsidRDefault="003C593D" w:rsidP="009952B6">
            <w:pPr>
              <w:autoSpaceDE w:val="0"/>
              <w:autoSpaceDN w:val="0"/>
              <w:adjustRightInd w:val="0"/>
              <w:jc w:val="center"/>
              <w:rPr>
                <w:b/>
                <w:bCs/>
              </w:rPr>
            </w:pPr>
            <w:r w:rsidRPr="00F853F6">
              <w:rPr>
                <w:sz w:val="22"/>
                <w:szCs w:val="22"/>
              </w:rPr>
              <w:t>36.5±0.1</w:t>
            </w:r>
          </w:p>
        </w:tc>
        <w:tc>
          <w:tcPr>
            <w:tcW w:w="2147" w:type="dxa"/>
            <w:shd w:val="clear" w:color="auto" w:fill="auto"/>
          </w:tcPr>
          <w:p w:rsidR="003C593D" w:rsidRPr="00F853F6" w:rsidRDefault="003C593D" w:rsidP="009952B6">
            <w:pPr>
              <w:autoSpaceDE w:val="0"/>
              <w:autoSpaceDN w:val="0"/>
              <w:adjustRightInd w:val="0"/>
              <w:jc w:val="center"/>
              <w:rPr>
                <w:b/>
                <w:bCs/>
              </w:rPr>
            </w:pPr>
            <w:r w:rsidRPr="00F853F6">
              <w:rPr>
                <w:sz w:val="22"/>
                <w:szCs w:val="22"/>
              </w:rPr>
              <w:t>36.8±0.1</w:t>
            </w:r>
          </w:p>
        </w:tc>
        <w:tc>
          <w:tcPr>
            <w:tcW w:w="972" w:type="dxa"/>
            <w:shd w:val="clear" w:color="auto" w:fill="auto"/>
          </w:tcPr>
          <w:p w:rsidR="003C593D" w:rsidRPr="00F853F6" w:rsidRDefault="003C593D" w:rsidP="009952B6">
            <w:pPr>
              <w:autoSpaceDE w:val="0"/>
              <w:autoSpaceDN w:val="0"/>
              <w:adjustRightInd w:val="0"/>
              <w:jc w:val="center"/>
            </w:pPr>
            <w:r>
              <w:rPr>
                <w:sz w:val="22"/>
                <w:szCs w:val="22"/>
              </w:rPr>
              <w:t>&lt;0.001</w:t>
            </w:r>
          </w:p>
        </w:tc>
      </w:tr>
    </w:tbl>
    <w:p w:rsidR="003C593D" w:rsidRDefault="003C593D" w:rsidP="003C593D">
      <w:pPr>
        <w:autoSpaceDE w:val="0"/>
        <w:autoSpaceDN w:val="0"/>
        <w:adjustRightInd w:val="0"/>
        <w:jc w:val="center"/>
      </w:pPr>
    </w:p>
    <w:p w:rsidR="003C593D" w:rsidRDefault="003C593D" w:rsidP="003C593D">
      <w:pPr>
        <w:autoSpaceDE w:val="0"/>
        <w:autoSpaceDN w:val="0"/>
        <w:adjustRightInd w:val="0"/>
        <w:jc w:val="center"/>
      </w:pPr>
      <w:r w:rsidRPr="00656E65">
        <w:rPr>
          <w:b/>
          <w:bCs/>
        </w:rPr>
        <w:t xml:space="preserve">Table 3: </w:t>
      </w:r>
      <w:r w:rsidRPr="0020730A">
        <w:t>Extubation time (min) and the total dose of fentanyl (mg)</w:t>
      </w:r>
    </w:p>
    <w:tbl>
      <w:tblPr>
        <w:tblW w:w="8897" w:type="dxa"/>
        <w:tblBorders>
          <w:top w:val="single" w:sz="12" w:space="0" w:color="008000"/>
          <w:bottom w:val="single" w:sz="12" w:space="0" w:color="008000"/>
        </w:tblBorders>
        <w:tblLook w:val="04A0"/>
      </w:tblPr>
      <w:tblGrid>
        <w:gridCol w:w="4077"/>
        <w:gridCol w:w="1701"/>
        <w:gridCol w:w="2147"/>
        <w:gridCol w:w="972"/>
      </w:tblGrid>
      <w:tr w:rsidR="003C593D" w:rsidRPr="00F853F6" w:rsidTr="009952B6">
        <w:tc>
          <w:tcPr>
            <w:tcW w:w="4077" w:type="dxa"/>
            <w:shd w:val="clear" w:color="auto" w:fill="auto"/>
          </w:tcPr>
          <w:p w:rsidR="003C593D" w:rsidRPr="00F853F6" w:rsidRDefault="003C593D" w:rsidP="009952B6">
            <w:pPr>
              <w:autoSpaceDE w:val="0"/>
              <w:autoSpaceDN w:val="0"/>
              <w:adjustRightInd w:val="0"/>
              <w:jc w:val="center"/>
              <w:rPr>
                <w:b/>
                <w:bCs/>
                <w:lang w:bidi="ar-EG"/>
              </w:rPr>
            </w:pPr>
          </w:p>
        </w:tc>
        <w:tc>
          <w:tcPr>
            <w:tcW w:w="1701" w:type="dxa"/>
            <w:shd w:val="clear" w:color="auto" w:fill="auto"/>
          </w:tcPr>
          <w:p w:rsidR="003C593D" w:rsidRPr="00F853F6" w:rsidRDefault="003C593D" w:rsidP="009952B6">
            <w:pPr>
              <w:autoSpaceDE w:val="0"/>
              <w:autoSpaceDN w:val="0"/>
              <w:adjustRightInd w:val="0"/>
              <w:jc w:val="center"/>
              <w:rPr>
                <w:b/>
                <w:bCs/>
                <w:lang w:bidi="ar-EG"/>
              </w:rPr>
            </w:pPr>
            <w:r w:rsidRPr="00F853F6">
              <w:rPr>
                <w:b/>
                <w:bCs/>
                <w:sz w:val="22"/>
                <w:szCs w:val="22"/>
                <w:lang w:bidi="ar-EG"/>
              </w:rPr>
              <w:t>TEA group</w:t>
            </w:r>
          </w:p>
        </w:tc>
        <w:tc>
          <w:tcPr>
            <w:tcW w:w="2147" w:type="dxa"/>
            <w:shd w:val="clear" w:color="auto" w:fill="auto"/>
          </w:tcPr>
          <w:p w:rsidR="003C593D" w:rsidRPr="00F853F6" w:rsidRDefault="003C593D" w:rsidP="009952B6">
            <w:pPr>
              <w:autoSpaceDE w:val="0"/>
              <w:autoSpaceDN w:val="0"/>
              <w:adjustRightInd w:val="0"/>
              <w:jc w:val="center"/>
              <w:rPr>
                <w:b/>
                <w:bCs/>
              </w:rPr>
            </w:pPr>
            <w:r w:rsidRPr="00F853F6">
              <w:rPr>
                <w:b/>
                <w:bCs/>
                <w:sz w:val="22"/>
                <w:szCs w:val="22"/>
              </w:rPr>
              <w:t>Opioid bases group</w:t>
            </w:r>
          </w:p>
        </w:tc>
        <w:tc>
          <w:tcPr>
            <w:tcW w:w="972" w:type="dxa"/>
            <w:shd w:val="clear" w:color="auto" w:fill="auto"/>
          </w:tcPr>
          <w:p w:rsidR="003C593D" w:rsidRPr="00F853F6" w:rsidRDefault="003C593D" w:rsidP="009952B6">
            <w:pPr>
              <w:autoSpaceDE w:val="0"/>
              <w:autoSpaceDN w:val="0"/>
              <w:adjustRightInd w:val="0"/>
              <w:jc w:val="center"/>
              <w:rPr>
                <w:b/>
                <w:bCs/>
              </w:rPr>
            </w:pPr>
            <w:r w:rsidRPr="00F853F6">
              <w:rPr>
                <w:b/>
                <w:bCs/>
                <w:sz w:val="22"/>
                <w:szCs w:val="22"/>
              </w:rPr>
              <w:t>P value</w:t>
            </w:r>
          </w:p>
        </w:tc>
      </w:tr>
      <w:tr w:rsidR="003C593D" w:rsidRPr="00F853F6" w:rsidTr="009952B6">
        <w:tc>
          <w:tcPr>
            <w:tcW w:w="4077" w:type="dxa"/>
            <w:shd w:val="clear" w:color="auto" w:fill="auto"/>
          </w:tcPr>
          <w:p w:rsidR="003C593D" w:rsidRPr="00F853F6" w:rsidRDefault="003C593D" w:rsidP="009952B6">
            <w:pPr>
              <w:autoSpaceDE w:val="0"/>
              <w:autoSpaceDN w:val="0"/>
              <w:adjustRightInd w:val="0"/>
              <w:jc w:val="center"/>
              <w:rPr>
                <w:b/>
                <w:bCs/>
              </w:rPr>
            </w:pPr>
            <w:r w:rsidRPr="00F853F6">
              <w:rPr>
                <w:sz w:val="22"/>
                <w:szCs w:val="22"/>
              </w:rPr>
              <w:t>Extubation time (min)</w:t>
            </w:r>
          </w:p>
        </w:tc>
        <w:tc>
          <w:tcPr>
            <w:tcW w:w="1701" w:type="dxa"/>
            <w:shd w:val="clear" w:color="auto" w:fill="auto"/>
          </w:tcPr>
          <w:p w:rsidR="003C593D" w:rsidRPr="00F853F6" w:rsidRDefault="003C593D" w:rsidP="009952B6">
            <w:pPr>
              <w:autoSpaceDE w:val="0"/>
              <w:autoSpaceDN w:val="0"/>
              <w:adjustRightInd w:val="0"/>
              <w:jc w:val="center"/>
            </w:pPr>
            <w:r>
              <w:rPr>
                <w:sz w:val="22"/>
                <w:szCs w:val="22"/>
              </w:rPr>
              <w:t>67</w:t>
            </w:r>
            <w:r w:rsidRPr="00F853F6">
              <w:rPr>
                <w:sz w:val="22"/>
                <w:szCs w:val="22"/>
              </w:rPr>
              <w:t>.4±16.5</w:t>
            </w:r>
          </w:p>
        </w:tc>
        <w:tc>
          <w:tcPr>
            <w:tcW w:w="2147" w:type="dxa"/>
            <w:shd w:val="clear" w:color="auto" w:fill="auto"/>
          </w:tcPr>
          <w:p w:rsidR="003C593D" w:rsidRPr="00F853F6" w:rsidRDefault="003C593D" w:rsidP="009952B6">
            <w:pPr>
              <w:autoSpaceDE w:val="0"/>
              <w:autoSpaceDN w:val="0"/>
              <w:adjustRightInd w:val="0"/>
              <w:jc w:val="center"/>
            </w:pPr>
            <w:r>
              <w:rPr>
                <w:sz w:val="22"/>
                <w:szCs w:val="22"/>
              </w:rPr>
              <w:t>356.5</w:t>
            </w:r>
            <w:r w:rsidRPr="00F853F6">
              <w:rPr>
                <w:sz w:val="22"/>
                <w:szCs w:val="22"/>
              </w:rPr>
              <w:t>±82.3</w:t>
            </w:r>
          </w:p>
        </w:tc>
        <w:tc>
          <w:tcPr>
            <w:tcW w:w="972" w:type="dxa"/>
            <w:shd w:val="clear" w:color="auto" w:fill="auto"/>
          </w:tcPr>
          <w:p w:rsidR="003C593D" w:rsidRPr="00F853F6" w:rsidRDefault="003C593D" w:rsidP="009952B6">
            <w:pPr>
              <w:autoSpaceDE w:val="0"/>
              <w:autoSpaceDN w:val="0"/>
              <w:adjustRightInd w:val="0"/>
              <w:jc w:val="center"/>
            </w:pPr>
            <w:r>
              <w:rPr>
                <w:sz w:val="22"/>
                <w:szCs w:val="22"/>
              </w:rPr>
              <w:t>&lt;0.001</w:t>
            </w:r>
          </w:p>
        </w:tc>
      </w:tr>
      <w:tr w:rsidR="003C593D" w:rsidRPr="00F853F6" w:rsidTr="009952B6">
        <w:tc>
          <w:tcPr>
            <w:tcW w:w="4077" w:type="dxa"/>
            <w:shd w:val="clear" w:color="auto" w:fill="auto"/>
          </w:tcPr>
          <w:p w:rsidR="003C593D" w:rsidRPr="00F853F6" w:rsidRDefault="003C593D" w:rsidP="009952B6">
            <w:pPr>
              <w:autoSpaceDE w:val="0"/>
              <w:autoSpaceDN w:val="0"/>
              <w:adjustRightInd w:val="0"/>
              <w:jc w:val="center"/>
            </w:pPr>
            <w:r>
              <w:rPr>
                <w:sz w:val="22"/>
                <w:szCs w:val="22"/>
              </w:rPr>
              <w:t>Ambulance time (hours)</w:t>
            </w:r>
          </w:p>
        </w:tc>
        <w:tc>
          <w:tcPr>
            <w:tcW w:w="1701" w:type="dxa"/>
            <w:shd w:val="clear" w:color="auto" w:fill="auto"/>
          </w:tcPr>
          <w:p w:rsidR="003C593D" w:rsidRDefault="003C593D" w:rsidP="009952B6">
            <w:pPr>
              <w:autoSpaceDE w:val="0"/>
              <w:autoSpaceDN w:val="0"/>
              <w:adjustRightInd w:val="0"/>
              <w:jc w:val="center"/>
            </w:pPr>
            <w:r>
              <w:rPr>
                <w:sz w:val="22"/>
                <w:szCs w:val="22"/>
              </w:rPr>
              <w:t>3.08</w:t>
            </w:r>
            <w:r w:rsidRPr="00F853F6">
              <w:rPr>
                <w:sz w:val="22"/>
                <w:szCs w:val="22"/>
              </w:rPr>
              <w:t>±</w:t>
            </w:r>
            <w:r>
              <w:rPr>
                <w:sz w:val="22"/>
                <w:szCs w:val="22"/>
              </w:rPr>
              <w:t>.395</w:t>
            </w:r>
          </w:p>
        </w:tc>
        <w:tc>
          <w:tcPr>
            <w:tcW w:w="2147" w:type="dxa"/>
            <w:shd w:val="clear" w:color="auto" w:fill="auto"/>
          </w:tcPr>
          <w:p w:rsidR="003C593D" w:rsidRDefault="003C593D" w:rsidP="009952B6">
            <w:pPr>
              <w:autoSpaceDE w:val="0"/>
              <w:autoSpaceDN w:val="0"/>
              <w:adjustRightInd w:val="0"/>
              <w:jc w:val="center"/>
            </w:pPr>
            <w:r>
              <w:rPr>
                <w:sz w:val="22"/>
                <w:szCs w:val="22"/>
              </w:rPr>
              <w:t>18.66</w:t>
            </w:r>
            <w:r w:rsidRPr="00F853F6">
              <w:rPr>
                <w:sz w:val="22"/>
                <w:szCs w:val="22"/>
              </w:rPr>
              <w:t>±</w:t>
            </w:r>
            <w:r>
              <w:rPr>
                <w:sz w:val="22"/>
                <w:szCs w:val="22"/>
              </w:rPr>
              <w:t>2.05</w:t>
            </w:r>
          </w:p>
        </w:tc>
        <w:tc>
          <w:tcPr>
            <w:tcW w:w="972" w:type="dxa"/>
            <w:shd w:val="clear" w:color="auto" w:fill="auto"/>
          </w:tcPr>
          <w:p w:rsidR="003C593D" w:rsidRDefault="003C593D" w:rsidP="009952B6">
            <w:pPr>
              <w:autoSpaceDE w:val="0"/>
              <w:autoSpaceDN w:val="0"/>
              <w:adjustRightInd w:val="0"/>
              <w:jc w:val="center"/>
            </w:pPr>
            <w:r>
              <w:rPr>
                <w:sz w:val="22"/>
                <w:szCs w:val="22"/>
              </w:rPr>
              <w:t>&lt;0.001</w:t>
            </w:r>
          </w:p>
        </w:tc>
      </w:tr>
      <w:tr w:rsidR="003C593D" w:rsidRPr="00F853F6" w:rsidTr="009952B6">
        <w:tc>
          <w:tcPr>
            <w:tcW w:w="4077" w:type="dxa"/>
            <w:shd w:val="clear" w:color="auto" w:fill="auto"/>
          </w:tcPr>
          <w:p w:rsidR="003C593D" w:rsidRPr="00F853F6" w:rsidRDefault="003C593D" w:rsidP="009952B6">
            <w:pPr>
              <w:autoSpaceDE w:val="0"/>
              <w:autoSpaceDN w:val="0"/>
              <w:adjustRightInd w:val="0"/>
              <w:jc w:val="center"/>
              <w:rPr>
                <w:b/>
                <w:bCs/>
              </w:rPr>
            </w:pPr>
            <w:r w:rsidRPr="00F853F6">
              <w:rPr>
                <w:sz w:val="22"/>
                <w:szCs w:val="22"/>
              </w:rPr>
              <w:t>Total dose of fentanyl</w:t>
            </w:r>
            <w:r>
              <w:rPr>
                <w:sz w:val="22"/>
                <w:szCs w:val="22"/>
              </w:rPr>
              <w:t xml:space="preserve"> </w:t>
            </w:r>
            <w:r w:rsidRPr="00F853F6">
              <w:rPr>
                <w:sz w:val="22"/>
                <w:szCs w:val="22"/>
              </w:rPr>
              <w:t>in mg over 48 hr</w:t>
            </w:r>
          </w:p>
        </w:tc>
        <w:tc>
          <w:tcPr>
            <w:tcW w:w="1701" w:type="dxa"/>
            <w:shd w:val="clear" w:color="auto" w:fill="auto"/>
          </w:tcPr>
          <w:p w:rsidR="003C593D" w:rsidRPr="00F853F6" w:rsidRDefault="003C593D" w:rsidP="009952B6">
            <w:pPr>
              <w:autoSpaceDE w:val="0"/>
              <w:autoSpaceDN w:val="0"/>
              <w:adjustRightInd w:val="0"/>
              <w:jc w:val="center"/>
              <w:rPr>
                <w:b/>
                <w:bCs/>
              </w:rPr>
            </w:pPr>
            <w:r w:rsidRPr="00F853F6">
              <w:rPr>
                <w:sz w:val="22"/>
                <w:szCs w:val="22"/>
              </w:rPr>
              <w:t>0.95±0.1</w:t>
            </w:r>
          </w:p>
        </w:tc>
        <w:tc>
          <w:tcPr>
            <w:tcW w:w="2147" w:type="dxa"/>
            <w:shd w:val="clear" w:color="auto" w:fill="auto"/>
          </w:tcPr>
          <w:p w:rsidR="003C593D" w:rsidRPr="00F853F6" w:rsidRDefault="003C593D" w:rsidP="009952B6">
            <w:pPr>
              <w:autoSpaceDE w:val="0"/>
              <w:autoSpaceDN w:val="0"/>
              <w:adjustRightInd w:val="0"/>
              <w:jc w:val="center"/>
              <w:rPr>
                <w:b/>
                <w:bCs/>
              </w:rPr>
            </w:pPr>
            <w:r w:rsidRPr="00F853F6">
              <w:rPr>
                <w:sz w:val="22"/>
                <w:szCs w:val="22"/>
              </w:rPr>
              <w:t>2.4±0.2</w:t>
            </w:r>
          </w:p>
        </w:tc>
        <w:tc>
          <w:tcPr>
            <w:tcW w:w="972" w:type="dxa"/>
            <w:shd w:val="clear" w:color="auto" w:fill="auto"/>
          </w:tcPr>
          <w:p w:rsidR="003C593D" w:rsidRPr="00F853F6" w:rsidRDefault="003C593D" w:rsidP="009952B6">
            <w:pPr>
              <w:autoSpaceDE w:val="0"/>
              <w:autoSpaceDN w:val="0"/>
              <w:adjustRightInd w:val="0"/>
              <w:jc w:val="center"/>
            </w:pPr>
            <w:r>
              <w:rPr>
                <w:sz w:val="22"/>
                <w:szCs w:val="22"/>
              </w:rPr>
              <w:t>&lt;0.001</w:t>
            </w:r>
          </w:p>
        </w:tc>
      </w:tr>
    </w:tbl>
    <w:p w:rsidR="003C593D" w:rsidRDefault="003C593D" w:rsidP="003C593D">
      <w:pPr>
        <w:autoSpaceDE w:val="0"/>
        <w:autoSpaceDN w:val="0"/>
        <w:adjustRightInd w:val="0"/>
        <w:jc w:val="center"/>
      </w:pPr>
    </w:p>
    <w:p w:rsidR="003C593D" w:rsidRDefault="00E94CD3" w:rsidP="003C593D">
      <w:pPr>
        <w:autoSpaceDE w:val="0"/>
        <w:autoSpaceDN w:val="0"/>
        <w:adjustRightInd w:val="0"/>
        <w:jc w:val="center"/>
      </w:pPr>
      <w:r>
        <w:rPr>
          <w:noProof/>
        </w:rPr>
        <w:lastRenderedPageBreak/>
        <w:pict>
          <v:shapetype id="_x0000_t202" coordsize="21600,21600" o:spt="202" path="m,l,21600r21600,l21600,xe">
            <v:stroke joinstyle="miter"/>
            <v:path gradientshapeok="t" o:connecttype="rect"/>
          </v:shapetype>
          <v:shape id="_x0000_s1036" type="#_x0000_t202" style="position:absolute;left:0;text-align:left;margin-left:347.3pt;margin-top:85.4pt;width:19pt;height:16.7pt;z-index:251668480;mso-width-relative:margin;mso-height-relative:margin" strokecolor="white">
            <v:textbox>
              <w:txbxContent>
                <w:p w:rsidR="003C593D" w:rsidRPr="001D2C98" w:rsidRDefault="003C593D" w:rsidP="003C593D">
                  <w:r>
                    <w:rPr>
                      <w:sz w:val="16"/>
                      <w:szCs w:val="16"/>
                    </w:rPr>
                    <w:sym w:font="Symbol" w:char="F0B7"/>
                  </w:r>
                </w:p>
              </w:txbxContent>
            </v:textbox>
          </v:shape>
        </w:pict>
      </w:r>
      <w:r>
        <w:rPr>
          <w:noProof/>
        </w:rPr>
        <w:pict>
          <v:shape id="_x0000_s1035" type="#_x0000_t202" style="position:absolute;left:0;text-align:left;margin-left:320.75pt;margin-top:72.1pt;width:19pt;height:16.7pt;z-index:251667456;mso-width-relative:margin;mso-height-relative:margin" strokecolor="white">
            <v:textbox>
              <w:txbxContent>
                <w:p w:rsidR="003C593D" w:rsidRPr="001D2C98" w:rsidRDefault="003C593D" w:rsidP="003C593D">
                  <w:r>
                    <w:rPr>
                      <w:sz w:val="16"/>
                      <w:szCs w:val="16"/>
                    </w:rPr>
                    <w:sym w:font="Symbol" w:char="F0B7"/>
                  </w:r>
                </w:p>
              </w:txbxContent>
            </v:textbox>
          </v:shape>
        </w:pict>
      </w:r>
      <w:r>
        <w:rPr>
          <w:noProof/>
        </w:rPr>
        <w:pict>
          <v:shape id="_x0000_s1034" type="#_x0000_t202" style="position:absolute;left:0;text-align:left;margin-left:295.5pt;margin-top:60.2pt;width:19pt;height:16.7pt;z-index:251666432;mso-width-relative:margin;mso-height-relative:margin" strokecolor="white">
            <v:textbox>
              <w:txbxContent>
                <w:p w:rsidR="003C593D" w:rsidRPr="001D2C98" w:rsidRDefault="003C593D" w:rsidP="003C593D">
                  <w:r>
                    <w:rPr>
                      <w:sz w:val="16"/>
                      <w:szCs w:val="16"/>
                    </w:rPr>
                    <w:sym w:font="Symbol" w:char="F0B7"/>
                  </w:r>
                </w:p>
              </w:txbxContent>
            </v:textbox>
          </v:shape>
        </w:pict>
      </w:r>
      <w:r>
        <w:rPr>
          <w:noProof/>
        </w:rPr>
        <w:pict>
          <v:shape id="_x0000_s1028" type="#_x0000_t202" style="position:absolute;left:0;text-align:left;margin-left:164.75pt;margin-top:37.95pt;width:19pt;height:16.7pt;z-index:251660288;mso-width-relative:margin;mso-height-relative:margin" strokecolor="white">
            <v:textbox style="mso-next-textbox:#_x0000_s1028">
              <w:txbxContent>
                <w:p w:rsidR="003C593D" w:rsidRPr="00162649" w:rsidRDefault="003C593D" w:rsidP="003C593D">
                  <w:pPr>
                    <w:rPr>
                      <w:sz w:val="16"/>
                      <w:szCs w:val="16"/>
                    </w:rPr>
                  </w:pPr>
                  <w:r w:rsidRPr="00162649">
                    <w:rPr>
                      <w:sz w:val="16"/>
                      <w:szCs w:val="16"/>
                    </w:rPr>
                    <w:sym w:font="Symbol" w:char="F02A"/>
                  </w:r>
                </w:p>
              </w:txbxContent>
            </v:textbox>
          </v:shape>
        </w:pict>
      </w:r>
      <w:r>
        <w:rPr>
          <w:noProof/>
        </w:rPr>
        <w:pict>
          <v:shape id="_x0000_s1029" type="#_x0000_t202" style="position:absolute;left:0;text-align:left;margin-left:136.55pt;margin-top:37.95pt;width:19pt;height:16.7pt;z-index:251661312;mso-width-relative:margin;mso-height-relative:margin" strokecolor="white">
            <v:textbox style="mso-next-textbox:#_x0000_s1029">
              <w:txbxContent>
                <w:p w:rsidR="003C593D" w:rsidRPr="00162649" w:rsidRDefault="003C593D" w:rsidP="003C593D">
                  <w:pPr>
                    <w:rPr>
                      <w:sz w:val="16"/>
                      <w:szCs w:val="16"/>
                    </w:rPr>
                  </w:pPr>
                  <w:r w:rsidRPr="00162649">
                    <w:rPr>
                      <w:sz w:val="16"/>
                      <w:szCs w:val="16"/>
                    </w:rPr>
                    <w:sym w:font="Symbol" w:char="F02A"/>
                  </w:r>
                </w:p>
              </w:txbxContent>
            </v:textbox>
          </v:shape>
        </w:pict>
      </w:r>
      <w:r>
        <w:rPr>
          <w:noProof/>
        </w:rPr>
        <w:pict>
          <v:shape id="_x0000_s1030" type="#_x0000_t202" style="position:absolute;left:0;text-align:left;margin-left:110.6pt;margin-top:34pt;width:19pt;height:16.7pt;z-index:251662336;mso-width-relative:margin;mso-height-relative:margin" strokecolor="white">
            <v:textbox style="mso-next-textbox:#_x0000_s1030">
              <w:txbxContent>
                <w:p w:rsidR="003C593D" w:rsidRPr="00162649" w:rsidRDefault="003C593D" w:rsidP="003C593D">
                  <w:pPr>
                    <w:rPr>
                      <w:sz w:val="16"/>
                      <w:szCs w:val="16"/>
                    </w:rPr>
                  </w:pPr>
                  <w:r w:rsidRPr="00162649">
                    <w:rPr>
                      <w:sz w:val="16"/>
                      <w:szCs w:val="16"/>
                    </w:rPr>
                    <w:sym w:font="Symbol" w:char="F02A"/>
                  </w:r>
                </w:p>
              </w:txbxContent>
            </v:textbox>
          </v:shape>
        </w:pict>
      </w:r>
      <w:r w:rsidR="003C593D">
        <w:rPr>
          <w:noProof/>
        </w:rPr>
        <w:drawing>
          <wp:inline distT="0" distB="0" distL="0" distR="0">
            <wp:extent cx="4192905" cy="25171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192905" cy="2517140"/>
                    </a:xfrm>
                    <a:prstGeom prst="rect">
                      <a:avLst/>
                    </a:prstGeom>
                    <a:noFill/>
                  </pic:spPr>
                </pic:pic>
              </a:graphicData>
            </a:graphic>
          </wp:inline>
        </w:drawing>
      </w:r>
    </w:p>
    <w:p w:rsidR="003C593D" w:rsidRPr="00131F65" w:rsidRDefault="003C593D" w:rsidP="003C593D">
      <w:pPr>
        <w:autoSpaceDE w:val="0"/>
        <w:autoSpaceDN w:val="0"/>
        <w:adjustRightInd w:val="0"/>
        <w:jc w:val="center"/>
        <w:rPr>
          <w:b/>
          <w:bCs/>
        </w:rPr>
      </w:pPr>
      <w:r w:rsidRPr="00131F65">
        <w:rPr>
          <w:b/>
          <w:bCs/>
        </w:rPr>
        <w:t>Figure I: Changes in the VAS in the both groups at rest</w:t>
      </w:r>
    </w:p>
    <w:p w:rsidR="003C593D" w:rsidRDefault="003C593D" w:rsidP="003C593D">
      <w:pPr>
        <w:autoSpaceDE w:val="0"/>
        <w:autoSpaceDN w:val="0"/>
        <w:adjustRightInd w:val="0"/>
        <w:jc w:val="center"/>
        <w:rPr>
          <w:b/>
          <w:bCs/>
        </w:rPr>
      </w:pPr>
    </w:p>
    <w:p w:rsidR="003C593D" w:rsidRDefault="003C593D" w:rsidP="003C593D">
      <w:pPr>
        <w:autoSpaceDE w:val="0"/>
        <w:autoSpaceDN w:val="0"/>
        <w:adjustRightInd w:val="0"/>
        <w:jc w:val="center"/>
        <w:rPr>
          <w:b/>
          <w:bCs/>
        </w:rPr>
      </w:pPr>
    </w:p>
    <w:p w:rsidR="003C593D" w:rsidRDefault="00E94CD3" w:rsidP="003C593D">
      <w:pPr>
        <w:autoSpaceDE w:val="0"/>
        <w:autoSpaceDN w:val="0"/>
        <w:adjustRightInd w:val="0"/>
        <w:jc w:val="center"/>
      </w:pPr>
      <w:r>
        <w:rPr>
          <w:noProof/>
        </w:rPr>
        <w:pict>
          <v:shape id="_x0000_s1038" type="#_x0000_t202" style="position:absolute;left:0;text-align:left;margin-left:322.55pt;margin-top:65.8pt;width:19pt;height:16.7pt;z-index:251670528;mso-width-relative:margin;mso-height-relative:margin" strokecolor="white">
            <v:textbox>
              <w:txbxContent>
                <w:p w:rsidR="003C593D" w:rsidRPr="001D2C98" w:rsidRDefault="003C593D" w:rsidP="003C593D">
                  <w:r>
                    <w:rPr>
                      <w:sz w:val="16"/>
                      <w:szCs w:val="16"/>
                    </w:rPr>
                    <w:sym w:font="Symbol" w:char="F0B7"/>
                  </w:r>
                </w:p>
              </w:txbxContent>
            </v:textbox>
          </v:shape>
        </w:pict>
      </w:r>
      <w:r>
        <w:rPr>
          <w:noProof/>
        </w:rPr>
        <w:pict>
          <v:shape id="_x0000_s1039" type="#_x0000_t202" style="position:absolute;left:0;text-align:left;margin-left:349.7pt;margin-top:73.7pt;width:19pt;height:16.7pt;z-index:251671552;mso-width-relative:margin;mso-height-relative:margin" strokecolor="white">
            <v:textbox>
              <w:txbxContent>
                <w:p w:rsidR="003C593D" w:rsidRPr="001D2C98" w:rsidRDefault="003C593D" w:rsidP="003C593D">
                  <w:r>
                    <w:rPr>
                      <w:sz w:val="16"/>
                      <w:szCs w:val="16"/>
                    </w:rPr>
                    <w:sym w:font="Symbol" w:char="F0B7"/>
                  </w:r>
                </w:p>
              </w:txbxContent>
            </v:textbox>
          </v:shape>
        </w:pict>
      </w:r>
      <w:r>
        <w:rPr>
          <w:noProof/>
        </w:rPr>
        <w:pict>
          <v:shape id="_x0000_s1037" type="#_x0000_t202" style="position:absolute;left:0;text-align:left;margin-left:297.3pt;margin-top:49.7pt;width:19pt;height:16.7pt;z-index:251669504;mso-width-relative:margin;mso-height-relative:margin" strokecolor="white">
            <v:textbox>
              <w:txbxContent>
                <w:p w:rsidR="003C593D" w:rsidRPr="001D2C98" w:rsidRDefault="003C593D" w:rsidP="003C593D">
                  <w:r>
                    <w:rPr>
                      <w:sz w:val="16"/>
                      <w:szCs w:val="16"/>
                    </w:rPr>
                    <w:sym w:font="Symbol" w:char="F0B7"/>
                  </w:r>
                </w:p>
              </w:txbxContent>
            </v:textbox>
          </v:shape>
        </w:pict>
      </w:r>
      <w:r>
        <w:rPr>
          <w:noProof/>
        </w:rPr>
        <w:pict>
          <v:shape id="_x0000_s1031" type="#_x0000_t202" style="position:absolute;left:0;text-align:left;margin-left:165.35pt;margin-top:41.85pt;width:19pt;height:16.7pt;z-index:251663360;mso-width-relative:margin;mso-height-relative:margin" strokecolor="white">
            <v:textbox style="mso-next-textbox:#_x0000_s1031">
              <w:txbxContent>
                <w:p w:rsidR="003C593D" w:rsidRPr="00162649" w:rsidRDefault="003C593D" w:rsidP="003C593D">
                  <w:pPr>
                    <w:rPr>
                      <w:sz w:val="16"/>
                      <w:szCs w:val="16"/>
                    </w:rPr>
                  </w:pPr>
                  <w:r w:rsidRPr="00162649">
                    <w:rPr>
                      <w:sz w:val="16"/>
                      <w:szCs w:val="16"/>
                    </w:rPr>
                    <w:sym w:font="Symbol" w:char="F02A"/>
                  </w:r>
                </w:p>
              </w:txbxContent>
            </v:textbox>
          </v:shape>
        </w:pict>
      </w:r>
      <w:r>
        <w:rPr>
          <w:noProof/>
        </w:rPr>
        <w:pict>
          <v:shape id="_x0000_s1033" type="#_x0000_t202" style="position:absolute;left:0;text-align:left;margin-left:111.2pt;margin-top:30.7pt;width:19pt;height:16.7pt;z-index:251665408;mso-width-relative:margin;mso-height-relative:margin" strokecolor="white">
            <v:textbox style="mso-next-textbox:#_x0000_s1033">
              <w:txbxContent>
                <w:p w:rsidR="003C593D" w:rsidRPr="00162649" w:rsidRDefault="003C593D" w:rsidP="003C593D">
                  <w:pPr>
                    <w:rPr>
                      <w:sz w:val="16"/>
                      <w:szCs w:val="16"/>
                    </w:rPr>
                  </w:pPr>
                  <w:r w:rsidRPr="00162649">
                    <w:rPr>
                      <w:sz w:val="16"/>
                      <w:szCs w:val="16"/>
                    </w:rPr>
                    <w:sym w:font="Symbol" w:char="F02A"/>
                  </w:r>
                </w:p>
              </w:txbxContent>
            </v:textbox>
          </v:shape>
        </w:pict>
      </w:r>
      <w:r>
        <w:rPr>
          <w:noProof/>
        </w:rPr>
        <w:pict>
          <v:shape id="_x0000_s1032" type="#_x0000_t202" style="position:absolute;left:0;text-align:left;margin-left:137.15pt;margin-top:34.65pt;width:19pt;height:16.7pt;z-index:251664384;mso-width-relative:margin;mso-height-relative:margin" strokecolor="white">
            <v:textbox style="mso-next-textbox:#_x0000_s1032">
              <w:txbxContent>
                <w:p w:rsidR="003C593D" w:rsidRPr="00162649" w:rsidRDefault="003C593D" w:rsidP="003C593D">
                  <w:pPr>
                    <w:rPr>
                      <w:sz w:val="16"/>
                      <w:szCs w:val="16"/>
                    </w:rPr>
                  </w:pPr>
                  <w:r w:rsidRPr="00162649">
                    <w:rPr>
                      <w:sz w:val="16"/>
                      <w:szCs w:val="16"/>
                    </w:rPr>
                    <w:sym w:font="Symbol" w:char="F02A"/>
                  </w:r>
                </w:p>
              </w:txbxContent>
            </v:textbox>
          </v:shape>
        </w:pict>
      </w:r>
      <w:r w:rsidR="003C593D">
        <w:rPr>
          <w:noProof/>
        </w:rPr>
        <w:drawing>
          <wp:inline distT="0" distB="0" distL="0" distR="0">
            <wp:extent cx="4260215" cy="2557780"/>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260215" cy="2557780"/>
                    </a:xfrm>
                    <a:prstGeom prst="rect">
                      <a:avLst/>
                    </a:prstGeom>
                    <a:noFill/>
                  </pic:spPr>
                </pic:pic>
              </a:graphicData>
            </a:graphic>
          </wp:inline>
        </w:drawing>
      </w:r>
    </w:p>
    <w:p w:rsidR="003C593D" w:rsidRPr="00131F65" w:rsidRDefault="003C593D" w:rsidP="003C593D">
      <w:pPr>
        <w:autoSpaceDE w:val="0"/>
        <w:autoSpaceDN w:val="0"/>
        <w:adjustRightInd w:val="0"/>
        <w:jc w:val="center"/>
      </w:pPr>
      <w:r w:rsidRPr="00131F65">
        <w:rPr>
          <w:b/>
          <w:bCs/>
        </w:rPr>
        <w:t>Figure II: Changes in the VAS in the both groups on coughing</w:t>
      </w:r>
    </w:p>
    <w:p w:rsidR="003C593D" w:rsidRDefault="003C593D" w:rsidP="003C593D">
      <w:pPr>
        <w:ind w:right="-450"/>
        <w:jc w:val="both"/>
        <w:rPr>
          <w:b/>
          <w:bCs/>
          <w:sz w:val="28"/>
          <w:szCs w:val="28"/>
        </w:rPr>
        <w:sectPr w:rsidR="003C593D" w:rsidSect="004C1BC7">
          <w:type w:val="continuous"/>
          <w:pgSz w:w="12240" w:h="15840"/>
          <w:pgMar w:top="1440" w:right="1797" w:bottom="1440" w:left="1797" w:header="709" w:footer="709" w:gutter="0"/>
          <w:cols w:space="708"/>
          <w:titlePg/>
          <w:docGrid w:linePitch="360"/>
        </w:sectPr>
      </w:pPr>
    </w:p>
    <w:p w:rsidR="003C593D" w:rsidRDefault="003C593D" w:rsidP="003C593D">
      <w:pPr>
        <w:ind w:right="-450"/>
        <w:jc w:val="lowKashida"/>
        <w:rPr>
          <w:b/>
          <w:bCs/>
          <w:sz w:val="28"/>
          <w:szCs w:val="28"/>
        </w:rPr>
      </w:pPr>
    </w:p>
    <w:p w:rsidR="003C593D" w:rsidRPr="0028517C" w:rsidRDefault="003C593D" w:rsidP="003C593D">
      <w:pPr>
        <w:ind w:right="-450"/>
        <w:jc w:val="lowKashida"/>
        <w:rPr>
          <w:b/>
          <w:bCs/>
          <w:sz w:val="28"/>
          <w:szCs w:val="28"/>
        </w:rPr>
      </w:pPr>
      <w:r w:rsidRPr="0028517C">
        <w:rPr>
          <w:b/>
          <w:bCs/>
          <w:sz w:val="28"/>
          <w:szCs w:val="28"/>
        </w:rPr>
        <w:t>Discussion</w:t>
      </w:r>
    </w:p>
    <w:p w:rsidR="003C593D" w:rsidRDefault="003C593D" w:rsidP="003C593D">
      <w:pPr>
        <w:jc w:val="lowKashida"/>
        <w:sectPr w:rsidR="003C593D" w:rsidSect="002B29D0">
          <w:type w:val="continuous"/>
          <w:pgSz w:w="12240" w:h="15840"/>
          <w:pgMar w:top="1440" w:right="1797" w:bottom="1440" w:left="1797" w:header="709" w:footer="709" w:gutter="0"/>
          <w:cols w:space="708"/>
          <w:titlePg/>
          <w:docGrid w:linePitch="360"/>
        </w:sectPr>
      </w:pPr>
    </w:p>
    <w:p w:rsidR="003C593D" w:rsidRDefault="003C593D" w:rsidP="003C593D">
      <w:pPr>
        <w:ind w:firstLine="567"/>
        <w:jc w:val="lowKashida"/>
        <w:rPr>
          <w:lang w:bidi="ar-EG"/>
        </w:rPr>
      </w:pPr>
      <w:r w:rsidRPr="00656E65">
        <w:lastRenderedPageBreak/>
        <w:t>Many</w:t>
      </w:r>
      <w:r>
        <w:t xml:space="preserve"> clinical</w:t>
      </w:r>
      <w:r w:rsidRPr="00656E65">
        <w:t xml:space="preserve"> </w:t>
      </w:r>
      <w:r>
        <w:t>trials</w:t>
      </w:r>
      <w:r w:rsidRPr="00656E65">
        <w:t xml:space="preserve"> were </w:t>
      </w:r>
      <w:r>
        <w:rPr>
          <w:lang w:bidi="ar-EG"/>
        </w:rPr>
        <w:t>carried out</w:t>
      </w:r>
      <w:r w:rsidRPr="00656E65">
        <w:rPr>
          <w:lang w:bidi="ar-EG"/>
        </w:rPr>
        <w:t xml:space="preserve"> to </w:t>
      </w:r>
      <w:r>
        <w:rPr>
          <w:lang w:bidi="ar-EG"/>
        </w:rPr>
        <w:t>study</w:t>
      </w:r>
      <w:r w:rsidRPr="00656E65">
        <w:rPr>
          <w:lang w:bidi="ar-EG"/>
        </w:rPr>
        <w:t xml:space="preserve"> the effect of thoracic epidural analgesia on the reduction of the total dose of fentanyl, the effect on the VAS and the feasibility of early extubation but most of them were conducted on coronary artery bypass graft</w:t>
      </w:r>
      <w:r>
        <w:rPr>
          <w:lang w:bidi="ar-EG"/>
        </w:rPr>
        <w:t xml:space="preserve"> </w:t>
      </w:r>
      <w:r w:rsidRPr="00656E65">
        <w:t>(CABG)</w:t>
      </w:r>
      <w:r w:rsidRPr="00656E65">
        <w:rPr>
          <w:lang w:bidi="ar-EG"/>
        </w:rPr>
        <w:t xml:space="preserve"> surgery</w:t>
      </w:r>
      <w:r w:rsidRPr="008957F5">
        <w:rPr>
          <w:b/>
          <w:bCs/>
          <w:vertAlign w:val="superscript"/>
          <w:lang w:bidi="ar-EG"/>
        </w:rPr>
        <w:t>(14)</w:t>
      </w:r>
      <w:r w:rsidRPr="00656E65">
        <w:rPr>
          <w:lang w:bidi="ar-EG"/>
        </w:rPr>
        <w:t xml:space="preserve">. </w:t>
      </w:r>
    </w:p>
    <w:p w:rsidR="003C593D" w:rsidRDefault="003C593D" w:rsidP="003C593D">
      <w:pPr>
        <w:ind w:firstLine="567"/>
        <w:jc w:val="lowKashida"/>
      </w:pPr>
      <w:r>
        <w:t>Contrary to</w:t>
      </w:r>
      <w:r w:rsidRPr="00656E65">
        <w:t xml:space="preserve"> </w:t>
      </w:r>
      <w:r>
        <w:t>CABG</w:t>
      </w:r>
      <w:r w:rsidRPr="00656E65">
        <w:t xml:space="preserve">, surgical correction of mitral valve </w:t>
      </w:r>
      <w:r>
        <w:t>lesions</w:t>
      </w:r>
      <w:r w:rsidRPr="00656E65">
        <w:t xml:space="preserve"> poses</w:t>
      </w:r>
      <w:r>
        <w:t xml:space="preserve"> </w:t>
      </w:r>
      <w:r w:rsidRPr="00656E65">
        <w:t xml:space="preserve"> </w:t>
      </w:r>
      <w:r>
        <w:t>some</w:t>
      </w:r>
      <w:r w:rsidRPr="00656E65">
        <w:t xml:space="preserve"> additional problems</w:t>
      </w:r>
      <w:r>
        <w:t xml:space="preserve"> such as</w:t>
      </w:r>
      <w:r w:rsidRPr="00656E65">
        <w:t xml:space="preserve"> </w:t>
      </w:r>
      <w:r>
        <w:lastRenderedPageBreak/>
        <w:t xml:space="preserve">difficult </w:t>
      </w:r>
      <w:r w:rsidRPr="00656E65">
        <w:t xml:space="preserve">hemodynamic stability achievement (especially after general anesthesia and </w:t>
      </w:r>
      <w:r>
        <w:t>epidural  anesthesia induction),</w:t>
      </w:r>
      <w:r w:rsidRPr="00656E65">
        <w:t xml:space="preserve"> higher risk </w:t>
      </w:r>
      <w:r>
        <w:t>of</w:t>
      </w:r>
      <w:r w:rsidRPr="00656E65">
        <w:t xml:space="preserve"> sudden perioperative </w:t>
      </w:r>
      <w:r>
        <w:t>impairment of</w:t>
      </w:r>
      <w:r w:rsidRPr="00656E65">
        <w:t xml:space="preserve"> left ventricular function</w:t>
      </w:r>
      <w:r>
        <w:t>, increased</w:t>
      </w:r>
      <w:r w:rsidRPr="00656E65">
        <w:t xml:space="preserve"> bleeding; need for postoperative anticoagulation</w:t>
      </w:r>
      <w:r>
        <w:t xml:space="preserve">, </w:t>
      </w:r>
      <w:r w:rsidRPr="00656E65">
        <w:t xml:space="preserve">and extensive myocardial manipulation and cardiac troponin release </w:t>
      </w:r>
      <w:r w:rsidRPr="002B29D0">
        <w:rPr>
          <w:b/>
          <w:bCs/>
          <w:vertAlign w:val="superscript"/>
        </w:rPr>
        <w:t>(14)</w:t>
      </w:r>
      <w:r w:rsidRPr="00656E65">
        <w:t xml:space="preserve">. </w:t>
      </w:r>
    </w:p>
    <w:p w:rsidR="003C593D" w:rsidRDefault="003C593D" w:rsidP="003C593D">
      <w:pPr>
        <w:ind w:firstLine="567"/>
        <w:jc w:val="lowKashida"/>
      </w:pPr>
      <w:r w:rsidRPr="00656E65">
        <w:t xml:space="preserve">In this study we </w:t>
      </w:r>
      <w:r>
        <w:t>attempted to</w:t>
      </w:r>
      <w:r w:rsidRPr="00656E65">
        <w:t xml:space="preserve"> evaluate the impact of thoracic epidural </w:t>
      </w:r>
      <w:r w:rsidRPr="00656E65">
        <w:lastRenderedPageBreak/>
        <w:t>analgesia on extubation time and postoperative pain scores in patients undergoing mitral valve replacement surgery</w:t>
      </w:r>
      <w:r>
        <w:t>. O</w:t>
      </w:r>
      <w:r w:rsidRPr="00656E65">
        <w:t>ur results were matched with many previous studies, which revealed that epidural anesthesia, led to optimal distribution of coronary blood flow, reduced demand for oxygen, hemodynamic stability, improved pulmonary function, early recovery of consciousness, and spontaneous ventilation and early extubation are well documented</w:t>
      </w:r>
      <w:r w:rsidRPr="002B29D0">
        <w:rPr>
          <w:b/>
          <w:bCs/>
          <w:vertAlign w:val="superscript"/>
        </w:rPr>
        <w:t>(15-16)</w:t>
      </w:r>
      <w:r w:rsidRPr="00656E65">
        <w:t>.</w:t>
      </w:r>
      <w:r w:rsidRPr="00656E65">
        <w:rPr>
          <w:shd w:val="clear" w:color="auto" w:fill="FFFFFF"/>
        </w:rPr>
        <w:t xml:space="preserve"> </w:t>
      </w:r>
    </w:p>
    <w:p w:rsidR="003C593D" w:rsidRDefault="003C593D" w:rsidP="003C593D">
      <w:pPr>
        <w:ind w:firstLine="567"/>
        <w:jc w:val="lowKashida"/>
      </w:pPr>
      <w:r w:rsidRPr="00656E65">
        <w:t>In the present study there were significant reductions in extubation time, and the total doses of fentanyl consumption in the TEA group compared with those of  the opioid based group. In addition, postoperative pain scores at rest and during coughing were significantly lower in thoracic epidural</w:t>
      </w:r>
      <w:r>
        <w:t xml:space="preserve"> </w:t>
      </w:r>
      <w:r w:rsidRPr="00656E65">
        <w:t xml:space="preserve">patients throughout the entire postoperative time. </w:t>
      </w:r>
    </w:p>
    <w:p w:rsidR="003C593D" w:rsidRDefault="003C593D" w:rsidP="003C593D">
      <w:pPr>
        <w:ind w:firstLine="567"/>
        <w:jc w:val="lowKashida"/>
      </w:pPr>
      <w:r w:rsidRPr="00656E65">
        <w:t xml:space="preserve">Early extubation has potential benefits such as decrease in intubation-related complications, </w:t>
      </w:r>
      <w:r>
        <w:t xml:space="preserve">regaining optimal </w:t>
      </w:r>
      <w:r w:rsidRPr="00656E65">
        <w:t>cilia</w:t>
      </w:r>
      <w:r>
        <w:t>ry</w:t>
      </w:r>
      <w:r w:rsidRPr="00656E65">
        <w:t xml:space="preserve"> functions, early recovery of coughing reflex, less pulmonary atelectasis, significant improvement in intra</w:t>
      </w:r>
      <w:r w:rsidRPr="00656E65">
        <w:softHyphen/>
        <w:t>pulmonary shunt fraction and elimination of disadvantages like deterioration of venous return, decrease in cardiac flow</w:t>
      </w:r>
      <w:r w:rsidRPr="002B29D0">
        <w:rPr>
          <w:b/>
          <w:vertAlign w:val="superscript"/>
        </w:rPr>
        <w:t>(17)</w:t>
      </w:r>
      <w:r w:rsidRPr="00656E65">
        <w:t>. Our results are in accordance with those reported by Priestly and his colleague</w:t>
      </w:r>
      <w:r>
        <w:rPr>
          <w:b/>
          <w:bCs/>
          <w:vertAlign w:val="superscript"/>
        </w:rPr>
        <w:t>(18)</w:t>
      </w:r>
      <w:r w:rsidRPr="00656E65">
        <w:t xml:space="preserve"> who </w:t>
      </w:r>
      <w:r>
        <w:t xml:space="preserve">showed that TEA patients were </w:t>
      </w:r>
      <w:r w:rsidRPr="00656E65">
        <w:t xml:space="preserve">extubated </w:t>
      </w:r>
      <w:r>
        <w:t>earlier</w:t>
      </w:r>
      <w:r w:rsidRPr="00656E65">
        <w:t xml:space="preserve"> than controls (3.2 h versus 6.7 h, respectively), yet this difference may have been secondary to the </w:t>
      </w:r>
      <w:r>
        <w:t>larger</w:t>
      </w:r>
      <w:r w:rsidRPr="00656E65">
        <w:t xml:space="preserve"> </w:t>
      </w:r>
      <w:r>
        <w:t>doses</w:t>
      </w:r>
      <w:r w:rsidRPr="00656E65">
        <w:t xml:space="preserve"> of intraoperative IV opioid administered to the patients. </w:t>
      </w:r>
      <w:r>
        <w:t>In the same line</w:t>
      </w:r>
      <w:r w:rsidRPr="00656E65">
        <w:t>, numerous studies have previously reported that TEA decreases the extubation time</w:t>
      </w:r>
      <w:r w:rsidRPr="002B29D0">
        <w:rPr>
          <w:b/>
          <w:bCs/>
          <w:vertAlign w:val="superscript"/>
        </w:rPr>
        <w:t>(19-23)</w:t>
      </w:r>
      <w:r>
        <w:rPr>
          <w:shd w:val="clear" w:color="auto" w:fill="FFFFFF"/>
        </w:rPr>
        <w:t xml:space="preserve">. </w:t>
      </w:r>
      <w:r w:rsidRPr="00656E65">
        <w:rPr>
          <w:shd w:val="clear" w:color="auto" w:fill="FFFFFF"/>
        </w:rPr>
        <w:t>Similar to our findings,</w:t>
      </w:r>
      <w:r w:rsidRPr="00656E65">
        <w:t xml:space="preserve"> Priestley</w:t>
      </w:r>
      <w:r w:rsidRPr="00656E65">
        <w:rPr>
          <w:rStyle w:val="apple-converted-space"/>
        </w:rPr>
        <w:t> </w:t>
      </w:r>
      <w:r w:rsidRPr="00656E65">
        <w:rPr>
          <w:rStyle w:val="Emphasis"/>
          <w:i w:val="0"/>
          <w:iCs w:val="0"/>
        </w:rPr>
        <w:t>et al</w:t>
      </w:r>
      <w:r>
        <w:rPr>
          <w:b/>
          <w:bCs/>
          <w:vertAlign w:val="superscript"/>
        </w:rPr>
        <w:t>(18)</w:t>
      </w:r>
      <w:r>
        <w:t xml:space="preserve"> </w:t>
      </w:r>
      <w:r w:rsidRPr="00656E65">
        <w:t xml:space="preserve">found lower VAS score and less number of patients </w:t>
      </w:r>
      <w:r w:rsidRPr="00656E65">
        <w:lastRenderedPageBreak/>
        <w:t xml:space="preserve">who received rescue analgesia in TEA group suggesting significantly better analgesia in the TEA group. In the current study, the TEA group provided lower pain scores throughout the postoperative period with subsequent lower dosage of oral analgesic consumption when compared with the </w:t>
      </w:r>
      <w:r>
        <w:t>o</w:t>
      </w:r>
      <w:r w:rsidRPr="00656E65">
        <w:t>pioid based group. Priestley</w:t>
      </w:r>
      <w:r w:rsidRPr="00363334">
        <w:t> et al</w:t>
      </w:r>
      <w:r>
        <w:rPr>
          <w:b/>
          <w:bCs/>
          <w:vertAlign w:val="superscript"/>
        </w:rPr>
        <w:t>(18)</w:t>
      </w:r>
      <w:r>
        <w:rPr>
          <w:color w:val="000000"/>
        </w:rPr>
        <w:t xml:space="preserve">, </w:t>
      </w:r>
      <w:r w:rsidRPr="00656E65">
        <w:rPr>
          <w:color w:val="000000"/>
        </w:rPr>
        <w:t>Shayevitz</w:t>
      </w:r>
      <w:r w:rsidRPr="00363334">
        <w:t xml:space="preserve"> et al</w:t>
      </w:r>
      <w:r>
        <w:rPr>
          <w:b/>
          <w:bCs/>
          <w:vertAlign w:val="superscript"/>
        </w:rPr>
        <w:t>(24)</w:t>
      </w:r>
      <w:r>
        <w:t xml:space="preserve"> and </w:t>
      </w:r>
      <w:r w:rsidRPr="00656E65">
        <w:t>Stenseth</w:t>
      </w:r>
      <w:r w:rsidRPr="00363334">
        <w:t> et al</w:t>
      </w:r>
      <w:r>
        <w:rPr>
          <w:b/>
          <w:bCs/>
          <w:vertAlign w:val="superscript"/>
        </w:rPr>
        <w:t>(25)</w:t>
      </w:r>
      <w:r w:rsidRPr="00656E65">
        <w:t xml:space="preserve"> </w:t>
      </w:r>
      <w:r>
        <w:t xml:space="preserve">also </w:t>
      </w:r>
      <w:r w:rsidRPr="00656E65">
        <w:t>found a lower VAS and earlier extubation.</w:t>
      </w:r>
      <w:r w:rsidRPr="00363334">
        <w:t> </w:t>
      </w:r>
    </w:p>
    <w:p w:rsidR="003C593D" w:rsidRDefault="003C593D" w:rsidP="003C593D">
      <w:pPr>
        <w:ind w:firstLine="567"/>
        <w:jc w:val="lowKashida"/>
      </w:pPr>
      <w:r w:rsidRPr="00656E65">
        <w:t>However, substantial controversy persists regarding the safety of intrathecal and epidural instrumentation in cardiac surgical patients who subsequently receive perioperative anticoagulation therapy</w:t>
      </w:r>
      <w:r>
        <w:rPr>
          <w:b/>
          <w:bCs/>
          <w:vertAlign w:val="superscript"/>
        </w:rPr>
        <w:t>(26)</w:t>
      </w:r>
      <w:r w:rsidRPr="00656E65">
        <w:t xml:space="preserve">. Risk for hematoma formation in this scenario is </w:t>
      </w:r>
      <w:r>
        <w:t>likely to increase</w:t>
      </w:r>
      <w:r w:rsidRPr="00656E65">
        <w:t xml:space="preserve">. In this study, there was no neurological complication was reported. </w:t>
      </w:r>
    </w:p>
    <w:p w:rsidR="003C593D" w:rsidRDefault="003C593D" w:rsidP="003C593D">
      <w:pPr>
        <w:jc w:val="lowKashida"/>
        <w:rPr>
          <w:b/>
          <w:bCs/>
          <w:sz w:val="28"/>
          <w:szCs w:val="28"/>
        </w:rPr>
      </w:pPr>
    </w:p>
    <w:p w:rsidR="003C593D" w:rsidRPr="0028517C" w:rsidRDefault="003C593D" w:rsidP="003C593D">
      <w:pPr>
        <w:jc w:val="lowKashida"/>
        <w:rPr>
          <w:b/>
          <w:bCs/>
          <w:sz w:val="28"/>
          <w:szCs w:val="28"/>
        </w:rPr>
      </w:pPr>
      <w:r>
        <w:rPr>
          <w:b/>
          <w:bCs/>
          <w:sz w:val="28"/>
          <w:szCs w:val="28"/>
        </w:rPr>
        <w:t>Conclusion</w:t>
      </w:r>
    </w:p>
    <w:p w:rsidR="003C593D" w:rsidRDefault="003C593D" w:rsidP="003C593D">
      <w:pPr>
        <w:ind w:firstLine="567"/>
        <w:jc w:val="lowKashida"/>
      </w:pPr>
      <w:r w:rsidRPr="00656E65">
        <w:t xml:space="preserve">TEA provides good postoperative analgesia with a marked reduction in parentral opiates, which implies a more awake and cooperative patient allowing early extubation. </w:t>
      </w:r>
      <w:r>
        <w:t xml:space="preserve">Consequently </w:t>
      </w:r>
      <w:r>
        <w:rPr>
          <w:sz w:val="22"/>
          <w:szCs w:val="22"/>
        </w:rPr>
        <w:t>a better surgical and financial outcome is achieved via reduction of postoperative complications, shortening of intensive care and hospital stay and reduction of economic constrains</w:t>
      </w:r>
      <w:r>
        <w:t>.</w:t>
      </w:r>
    </w:p>
    <w:p w:rsidR="003C593D" w:rsidRDefault="003C593D" w:rsidP="003C593D">
      <w:pPr>
        <w:ind w:firstLine="567"/>
        <w:jc w:val="lowKashida"/>
      </w:pPr>
    </w:p>
    <w:p w:rsidR="003C593D" w:rsidRPr="0028517C" w:rsidRDefault="003C593D" w:rsidP="003C593D">
      <w:pPr>
        <w:jc w:val="lowKashida"/>
        <w:rPr>
          <w:b/>
          <w:bCs/>
          <w:sz w:val="28"/>
          <w:szCs w:val="28"/>
        </w:rPr>
      </w:pPr>
      <w:r w:rsidRPr="0028517C">
        <w:rPr>
          <w:b/>
          <w:bCs/>
          <w:sz w:val="28"/>
          <w:szCs w:val="28"/>
        </w:rPr>
        <w:t>References</w:t>
      </w:r>
    </w:p>
    <w:p w:rsidR="003C593D" w:rsidRDefault="003C593D" w:rsidP="003C593D">
      <w:pPr>
        <w:numPr>
          <w:ilvl w:val="0"/>
          <w:numId w:val="1"/>
        </w:numPr>
        <w:autoSpaceDE w:val="0"/>
        <w:autoSpaceDN w:val="0"/>
        <w:adjustRightInd w:val="0"/>
        <w:ind w:left="357" w:hanging="357"/>
        <w:jc w:val="both"/>
      </w:pPr>
      <w:r w:rsidRPr="00656E65">
        <w:t>Chakravarthy M, Thimmangowda P , Krishnamurthy J,  Nadiminti S, and Anesthesia in Cardiac Surgical Patients: A Prospective Audit of 2,113 Cases , Journal of Cardiothoracic and Vascular Anesthesia, Vol 19, No 1 (February), 2005: pp 44-48.</w:t>
      </w:r>
    </w:p>
    <w:p w:rsidR="003C593D" w:rsidRPr="00465200" w:rsidRDefault="003C593D" w:rsidP="003C593D">
      <w:pPr>
        <w:autoSpaceDE w:val="0"/>
        <w:autoSpaceDN w:val="0"/>
        <w:adjustRightInd w:val="0"/>
        <w:jc w:val="both"/>
        <w:rPr>
          <w:sz w:val="12"/>
          <w:szCs w:val="12"/>
        </w:rPr>
      </w:pPr>
    </w:p>
    <w:p w:rsidR="003C593D" w:rsidRDefault="003C593D" w:rsidP="003C593D">
      <w:pPr>
        <w:numPr>
          <w:ilvl w:val="0"/>
          <w:numId w:val="1"/>
        </w:numPr>
        <w:autoSpaceDE w:val="0"/>
        <w:autoSpaceDN w:val="0"/>
        <w:adjustRightInd w:val="0"/>
        <w:jc w:val="both"/>
      </w:pPr>
      <w:r w:rsidRPr="00656E65">
        <w:t xml:space="preserve">Liu S, Carpenter RL, Neal JM: Epidural anesthesia and analgesia, </w:t>
      </w:r>
      <w:r w:rsidRPr="00656E65">
        <w:lastRenderedPageBreak/>
        <w:t>their role in postoperative outcome. Anesthesiology 82:1474-1506, 1995.</w:t>
      </w:r>
    </w:p>
    <w:p w:rsidR="003C593D" w:rsidRPr="00465200" w:rsidRDefault="003C593D" w:rsidP="003C593D">
      <w:pPr>
        <w:autoSpaceDE w:val="0"/>
        <w:autoSpaceDN w:val="0"/>
        <w:adjustRightInd w:val="0"/>
        <w:jc w:val="both"/>
        <w:rPr>
          <w:sz w:val="12"/>
          <w:szCs w:val="12"/>
        </w:rPr>
      </w:pPr>
    </w:p>
    <w:p w:rsidR="003C593D" w:rsidRDefault="003C593D" w:rsidP="003C593D">
      <w:pPr>
        <w:numPr>
          <w:ilvl w:val="0"/>
          <w:numId w:val="1"/>
        </w:numPr>
        <w:autoSpaceDE w:val="0"/>
        <w:autoSpaceDN w:val="0"/>
        <w:adjustRightInd w:val="0"/>
        <w:jc w:val="both"/>
      </w:pPr>
      <w:r w:rsidRPr="00656E65">
        <w:t xml:space="preserve">Liem TH, Hasenbos MA, Booij LH et al: Coronary artery bypass grafting using two different anesthetic techniques: Part 2: Postoperative outcome. J Cardiothorac Vasc Anesth 6:156-161, 1992. </w:t>
      </w:r>
    </w:p>
    <w:p w:rsidR="003C593D" w:rsidRPr="00465200" w:rsidRDefault="003C593D" w:rsidP="003C593D">
      <w:pPr>
        <w:autoSpaceDE w:val="0"/>
        <w:autoSpaceDN w:val="0"/>
        <w:adjustRightInd w:val="0"/>
        <w:jc w:val="both"/>
        <w:rPr>
          <w:sz w:val="12"/>
          <w:szCs w:val="12"/>
        </w:rPr>
      </w:pPr>
    </w:p>
    <w:p w:rsidR="003C593D" w:rsidRDefault="003C593D" w:rsidP="003C593D">
      <w:pPr>
        <w:numPr>
          <w:ilvl w:val="0"/>
          <w:numId w:val="1"/>
        </w:numPr>
        <w:autoSpaceDE w:val="0"/>
        <w:autoSpaceDN w:val="0"/>
        <w:adjustRightInd w:val="0"/>
        <w:jc w:val="both"/>
      </w:pPr>
      <w:r w:rsidRPr="00656E65">
        <w:t>Moore CM, Cross MH, Desborough JP, et al: Hormonal effects of thoracic extradural analgesia for cardiac surgery. Br J Anaesth 75:387-393, 1995</w:t>
      </w:r>
      <w:r>
        <w:t>.</w:t>
      </w:r>
    </w:p>
    <w:p w:rsidR="003C593D" w:rsidRPr="00465200" w:rsidRDefault="003C593D" w:rsidP="003C593D">
      <w:pPr>
        <w:autoSpaceDE w:val="0"/>
        <w:autoSpaceDN w:val="0"/>
        <w:adjustRightInd w:val="0"/>
        <w:jc w:val="both"/>
        <w:rPr>
          <w:sz w:val="12"/>
          <w:szCs w:val="12"/>
        </w:rPr>
      </w:pPr>
    </w:p>
    <w:p w:rsidR="003C593D" w:rsidRDefault="003C593D" w:rsidP="003C593D">
      <w:pPr>
        <w:numPr>
          <w:ilvl w:val="0"/>
          <w:numId w:val="1"/>
        </w:numPr>
        <w:autoSpaceDE w:val="0"/>
        <w:autoSpaceDN w:val="0"/>
        <w:adjustRightInd w:val="0"/>
        <w:jc w:val="lowKashida"/>
      </w:pPr>
      <w:r w:rsidRPr="00656E65">
        <w:t>Blomberg S, Emanuelsson H, Kvist H, et al: Effects of thoracic epidural anesthesia on coronary artery and arterioles in patients with coronary artery disease. Anesthesiology 73:840-847, 1990.</w:t>
      </w:r>
    </w:p>
    <w:p w:rsidR="003C593D" w:rsidRPr="00465200" w:rsidRDefault="003C593D" w:rsidP="003C593D">
      <w:pPr>
        <w:autoSpaceDE w:val="0"/>
        <w:autoSpaceDN w:val="0"/>
        <w:adjustRightInd w:val="0"/>
        <w:jc w:val="lowKashida"/>
        <w:rPr>
          <w:sz w:val="12"/>
          <w:szCs w:val="12"/>
        </w:rPr>
      </w:pPr>
    </w:p>
    <w:p w:rsidR="003C593D" w:rsidRDefault="003C593D" w:rsidP="003C593D">
      <w:pPr>
        <w:numPr>
          <w:ilvl w:val="0"/>
          <w:numId w:val="1"/>
        </w:numPr>
        <w:autoSpaceDE w:val="0"/>
        <w:autoSpaceDN w:val="0"/>
        <w:adjustRightInd w:val="0"/>
        <w:jc w:val="lowKashida"/>
      </w:pPr>
      <w:r w:rsidRPr="00656E65">
        <w:t>Royse C, Royse A, Soeding P, et al: Prospective randomized trial of high thoracic epidural analgesia for coronary artery bypass surgery.Ann Thorac Surg 75:93-100, 2003.</w:t>
      </w:r>
    </w:p>
    <w:p w:rsidR="003C593D" w:rsidRPr="00465200" w:rsidRDefault="003C593D" w:rsidP="003C593D">
      <w:pPr>
        <w:autoSpaceDE w:val="0"/>
        <w:autoSpaceDN w:val="0"/>
        <w:adjustRightInd w:val="0"/>
        <w:jc w:val="lowKashida"/>
        <w:rPr>
          <w:sz w:val="12"/>
          <w:szCs w:val="12"/>
        </w:rPr>
      </w:pPr>
    </w:p>
    <w:p w:rsidR="003C593D" w:rsidRDefault="003C593D" w:rsidP="003C593D">
      <w:pPr>
        <w:numPr>
          <w:ilvl w:val="0"/>
          <w:numId w:val="1"/>
        </w:numPr>
        <w:autoSpaceDE w:val="0"/>
        <w:autoSpaceDN w:val="0"/>
        <w:adjustRightInd w:val="0"/>
        <w:jc w:val="lowKashida"/>
      </w:pPr>
      <w:r w:rsidRPr="00656E65">
        <w:t>Stenseth R, Bjella L, Berg EM, et al: Effects of thoracic epidural analgesia on pulmonary function after coronary artery bypass surgery I: Haemodynamic effects. Acta Anaesthesiol Scand 38:826-833, 1994</w:t>
      </w:r>
      <w:r>
        <w:t>.</w:t>
      </w:r>
    </w:p>
    <w:p w:rsidR="003C593D" w:rsidRPr="00465200" w:rsidRDefault="003C593D" w:rsidP="003C593D">
      <w:pPr>
        <w:autoSpaceDE w:val="0"/>
        <w:autoSpaceDN w:val="0"/>
        <w:adjustRightInd w:val="0"/>
        <w:jc w:val="lowKashida"/>
        <w:rPr>
          <w:sz w:val="12"/>
          <w:szCs w:val="12"/>
        </w:rPr>
      </w:pPr>
    </w:p>
    <w:p w:rsidR="003C593D" w:rsidRPr="00656E65" w:rsidRDefault="003C593D" w:rsidP="003C593D">
      <w:pPr>
        <w:numPr>
          <w:ilvl w:val="0"/>
          <w:numId w:val="1"/>
        </w:numPr>
        <w:autoSpaceDE w:val="0"/>
        <w:autoSpaceDN w:val="0"/>
        <w:adjustRightInd w:val="0"/>
        <w:jc w:val="lowKashida"/>
      </w:pPr>
      <w:r w:rsidRPr="00656E65">
        <w:t>Royse C, Royse A, Soeding P, et al: Prospective randomized trial of high thoracic epidural analgesia for coronary artery bypass surgery. Ann Thorac Surg 75:93-100, 2003.</w:t>
      </w:r>
    </w:p>
    <w:p w:rsidR="003C593D" w:rsidRDefault="003C593D" w:rsidP="003C593D">
      <w:pPr>
        <w:numPr>
          <w:ilvl w:val="0"/>
          <w:numId w:val="1"/>
        </w:numPr>
        <w:autoSpaceDE w:val="0"/>
        <w:autoSpaceDN w:val="0"/>
        <w:adjustRightInd w:val="0"/>
        <w:jc w:val="lowKashida"/>
      </w:pPr>
      <w:r w:rsidRPr="00656E65">
        <w:t>Weissman C. The metabolic response to stress: an overview and update. Anesthesiology 1990; 73:308–27</w:t>
      </w:r>
      <w:bookmarkStart w:id="0" w:name="R4-7"/>
      <w:bookmarkEnd w:id="0"/>
      <w:r w:rsidRPr="00656E65">
        <w:t>.</w:t>
      </w:r>
      <w:bookmarkStart w:id="1" w:name="R5-7"/>
      <w:bookmarkEnd w:id="1"/>
    </w:p>
    <w:p w:rsidR="003C593D" w:rsidRPr="00465200" w:rsidRDefault="003C593D" w:rsidP="003C593D">
      <w:pPr>
        <w:autoSpaceDE w:val="0"/>
        <w:autoSpaceDN w:val="0"/>
        <w:adjustRightInd w:val="0"/>
        <w:jc w:val="lowKashida"/>
        <w:rPr>
          <w:sz w:val="12"/>
          <w:szCs w:val="12"/>
        </w:rPr>
      </w:pPr>
    </w:p>
    <w:p w:rsidR="003C593D" w:rsidRDefault="003C593D" w:rsidP="003C593D">
      <w:pPr>
        <w:numPr>
          <w:ilvl w:val="0"/>
          <w:numId w:val="1"/>
        </w:numPr>
        <w:autoSpaceDE w:val="0"/>
        <w:autoSpaceDN w:val="0"/>
        <w:adjustRightInd w:val="0"/>
        <w:jc w:val="lowKashida"/>
      </w:pPr>
      <w:r w:rsidRPr="00656E65">
        <w:t xml:space="preserve">Tuman KJ, McCarthy RJ, March RJ, et al. Effects of epidural anesthesia and analgesia on coagulation and </w:t>
      </w:r>
      <w:r w:rsidRPr="00656E65">
        <w:lastRenderedPageBreak/>
        <w:t>outcome after major vascular surgery. Anesth Analg 1991; 73:696–704.</w:t>
      </w:r>
    </w:p>
    <w:p w:rsidR="003C593D" w:rsidRPr="00465200" w:rsidRDefault="003C593D" w:rsidP="003C593D">
      <w:pPr>
        <w:autoSpaceDE w:val="0"/>
        <w:autoSpaceDN w:val="0"/>
        <w:adjustRightInd w:val="0"/>
        <w:jc w:val="lowKashida"/>
        <w:rPr>
          <w:sz w:val="12"/>
          <w:szCs w:val="12"/>
        </w:rPr>
      </w:pPr>
    </w:p>
    <w:p w:rsidR="003C593D" w:rsidRDefault="003C593D" w:rsidP="003C593D">
      <w:pPr>
        <w:numPr>
          <w:ilvl w:val="0"/>
          <w:numId w:val="1"/>
        </w:numPr>
        <w:autoSpaceDE w:val="0"/>
        <w:autoSpaceDN w:val="0"/>
        <w:adjustRightInd w:val="0"/>
        <w:jc w:val="lowKashida"/>
      </w:pPr>
      <w:r w:rsidRPr="00656E65">
        <w:t>Mangano DT, Siliciano D, Hollenberg M, et al. Postoperative myocardial ischemia: therapeutic trials using intensive analgesia following surgery. Anesthesiology 1992; 76:342–53.</w:t>
      </w:r>
      <w:bookmarkStart w:id="2" w:name="R9-7"/>
      <w:bookmarkEnd w:id="2"/>
    </w:p>
    <w:p w:rsidR="003C593D" w:rsidRPr="00465200" w:rsidRDefault="003C593D" w:rsidP="003C593D">
      <w:pPr>
        <w:autoSpaceDE w:val="0"/>
        <w:autoSpaceDN w:val="0"/>
        <w:adjustRightInd w:val="0"/>
        <w:jc w:val="lowKashida"/>
        <w:rPr>
          <w:sz w:val="12"/>
          <w:szCs w:val="12"/>
        </w:rPr>
      </w:pPr>
      <w:r w:rsidRPr="00465200">
        <w:rPr>
          <w:sz w:val="12"/>
          <w:szCs w:val="12"/>
        </w:rPr>
        <w:t xml:space="preserve"> </w:t>
      </w:r>
    </w:p>
    <w:p w:rsidR="003C593D" w:rsidRDefault="003C593D" w:rsidP="003C593D">
      <w:pPr>
        <w:numPr>
          <w:ilvl w:val="0"/>
          <w:numId w:val="1"/>
        </w:numPr>
        <w:autoSpaceDE w:val="0"/>
        <w:autoSpaceDN w:val="0"/>
        <w:adjustRightInd w:val="0"/>
        <w:jc w:val="lowKashida"/>
      </w:pPr>
      <w:r w:rsidRPr="00656E65">
        <w:t>Anand KJS, Hickey PR. Halothane-morphine compared with high-dose sufentanil for anesthesia and postoperative analgesia in neonatal cardiac surgery. N Engl J Med 1992; 326:1–9.</w:t>
      </w:r>
      <w:bookmarkStart w:id="3" w:name="R10-7"/>
      <w:bookmarkEnd w:id="3"/>
    </w:p>
    <w:p w:rsidR="003C593D" w:rsidRPr="00465200" w:rsidRDefault="003C593D" w:rsidP="003C593D">
      <w:pPr>
        <w:autoSpaceDE w:val="0"/>
        <w:autoSpaceDN w:val="0"/>
        <w:adjustRightInd w:val="0"/>
        <w:jc w:val="lowKashida"/>
        <w:rPr>
          <w:sz w:val="12"/>
          <w:szCs w:val="12"/>
        </w:rPr>
      </w:pPr>
    </w:p>
    <w:p w:rsidR="003C593D" w:rsidRDefault="003C593D" w:rsidP="003C593D">
      <w:pPr>
        <w:numPr>
          <w:ilvl w:val="0"/>
          <w:numId w:val="1"/>
        </w:numPr>
        <w:autoSpaceDE w:val="0"/>
        <w:autoSpaceDN w:val="0"/>
        <w:adjustRightInd w:val="0"/>
        <w:jc w:val="both"/>
      </w:pPr>
      <w:r w:rsidRPr="00656E65">
        <w:t>Wallace AW. Is it time to get on the fast track or stay on the slow track? Anesthesiology 2003; 99:774.</w:t>
      </w:r>
    </w:p>
    <w:p w:rsidR="003C593D" w:rsidRPr="00465200" w:rsidRDefault="003C593D" w:rsidP="003C593D">
      <w:pPr>
        <w:autoSpaceDE w:val="0"/>
        <w:autoSpaceDN w:val="0"/>
        <w:adjustRightInd w:val="0"/>
        <w:jc w:val="both"/>
        <w:rPr>
          <w:sz w:val="12"/>
          <w:szCs w:val="12"/>
        </w:rPr>
      </w:pPr>
    </w:p>
    <w:p w:rsidR="003C593D" w:rsidRDefault="003C593D" w:rsidP="003C593D">
      <w:pPr>
        <w:numPr>
          <w:ilvl w:val="0"/>
          <w:numId w:val="1"/>
        </w:numPr>
        <w:autoSpaceDE w:val="0"/>
        <w:autoSpaceDN w:val="0"/>
        <w:adjustRightInd w:val="0"/>
        <w:jc w:val="both"/>
      </w:pPr>
      <w:r w:rsidRPr="00656E65">
        <w:t xml:space="preserve">Monaco F, Landoni G, Biselli C, De Luca M, Frau G, Bignami E, </w:t>
      </w:r>
      <w:r w:rsidRPr="00656E65">
        <w:rPr>
          <w:i/>
          <w:iCs/>
        </w:rPr>
        <w:t>et al</w:t>
      </w:r>
      <w:r w:rsidRPr="00656E65">
        <w:t>. Predictors of cardiac troponin release after mitral valve surgery. J Cardiothorac Vasc Anesth 2010;24:931</w:t>
      </w:r>
      <w:r w:rsidRPr="00656E65">
        <w:rPr>
          <w:rFonts w:eastAsia="MS Mincho" w:hAnsi="MS Mincho"/>
        </w:rPr>
        <w:t>‑</w:t>
      </w:r>
      <w:r w:rsidRPr="00656E65">
        <w:t>8.</w:t>
      </w:r>
    </w:p>
    <w:p w:rsidR="003C593D" w:rsidRPr="00465200" w:rsidRDefault="003C593D" w:rsidP="003C593D">
      <w:pPr>
        <w:autoSpaceDE w:val="0"/>
        <w:autoSpaceDN w:val="0"/>
        <w:adjustRightInd w:val="0"/>
        <w:jc w:val="both"/>
        <w:rPr>
          <w:sz w:val="12"/>
          <w:szCs w:val="12"/>
        </w:rPr>
      </w:pPr>
    </w:p>
    <w:p w:rsidR="003C593D" w:rsidRDefault="003C593D" w:rsidP="003C593D">
      <w:pPr>
        <w:numPr>
          <w:ilvl w:val="0"/>
          <w:numId w:val="1"/>
        </w:numPr>
        <w:autoSpaceDE w:val="0"/>
        <w:autoSpaceDN w:val="0"/>
        <w:adjustRightInd w:val="0"/>
        <w:jc w:val="lowKashida"/>
        <w:rPr>
          <w:u w:val="single"/>
        </w:rPr>
      </w:pPr>
      <w:r w:rsidRPr="00656E65">
        <w:t>Davis RF, DeBoer LWV, Maroko PR. Thoracic epidural anesthesia reduces myocardial infarct size after coronary artery occlusion in dogs. Anesthesia and Analgesia 1986; 65: 711-7.</w:t>
      </w:r>
    </w:p>
    <w:p w:rsidR="003C593D" w:rsidRPr="00465200" w:rsidRDefault="003C593D" w:rsidP="003C593D">
      <w:pPr>
        <w:autoSpaceDE w:val="0"/>
        <w:autoSpaceDN w:val="0"/>
        <w:adjustRightInd w:val="0"/>
        <w:jc w:val="lowKashida"/>
        <w:rPr>
          <w:sz w:val="12"/>
          <w:szCs w:val="12"/>
          <w:u w:val="single"/>
        </w:rPr>
      </w:pPr>
    </w:p>
    <w:p w:rsidR="003C593D" w:rsidRPr="00656E65" w:rsidRDefault="003C593D" w:rsidP="003C593D">
      <w:pPr>
        <w:numPr>
          <w:ilvl w:val="0"/>
          <w:numId w:val="1"/>
        </w:numPr>
        <w:autoSpaceDE w:val="0"/>
        <w:autoSpaceDN w:val="0"/>
        <w:adjustRightInd w:val="0"/>
        <w:jc w:val="both"/>
      </w:pPr>
      <w:r w:rsidRPr="00656E65">
        <w:t>Chaney MA (</w:t>
      </w:r>
      <w:r>
        <w:t>E</w:t>
      </w:r>
      <w:r w:rsidRPr="00656E65">
        <w:t>d): Regional Anesthesia for Cardiothoracic Surgery. Baltimore, MD, Lippincott Williams &amp; Wilkins, 2002, pp 1-167</w:t>
      </w:r>
      <w:r>
        <w:t>.</w:t>
      </w:r>
    </w:p>
    <w:p w:rsidR="003C593D" w:rsidRDefault="003C593D" w:rsidP="003C593D">
      <w:pPr>
        <w:numPr>
          <w:ilvl w:val="0"/>
          <w:numId w:val="1"/>
        </w:numPr>
        <w:jc w:val="both"/>
        <w:rPr>
          <w:lang w:bidi="ar-EG"/>
        </w:rPr>
      </w:pPr>
      <w:r w:rsidRPr="00656E65">
        <w:t>Knapik M, Knapik P, Nadziakiewicz P et al: Comparison of remifentanil or fentanil administration during isoflurane anesthesia for coronary artery by</w:t>
      </w:r>
      <w:r w:rsidRPr="00656E65">
        <w:softHyphen/>
        <w:t>pass surgery. Med Sci Monit, 2006; 12(8): PI133–38</w:t>
      </w:r>
      <w:r w:rsidRPr="00656E65">
        <w:rPr>
          <w:lang w:bidi="ar-EG"/>
        </w:rPr>
        <w:t>.</w:t>
      </w:r>
    </w:p>
    <w:p w:rsidR="003C593D" w:rsidRPr="00465200" w:rsidRDefault="003C593D" w:rsidP="003C593D">
      <w:pPr>
        <w:jc w:val="both"/>
        <w:rPr>
          <w:sz w:val="12"/>
          <w:szCs w:val="12"/>
          <w:lang w:bidi="ar-EG"/>
        </w:rPr>
      </w:pPr>
    </w:p>
    <w:p w:rsidR="003C593D" w:rsidRDefault="003C593D" w:rsidP="003C593D">
      <w:pPr>
        <w:numPr>
          <w:ilvl w:val="0"/>
          <w:numId w:val="1"/>
        </w:numPr>
        <w:autoSpaceDE w:val="0"/>
        <w:autoSpaceDN w:val="0"/>
        <w:adjustRightInd w:val="0"/>
        <w:jc w:val="both"/>
      </w:pPr>
      <w:r w:rsidRPr="00656E65">
        <w:t xml:space="preserve">Priestley MC, Cope L, Halliwell R, et al. Thoracic epidural anesthesia for cardiac surgery: the effects on </w:t>
      </w:r>
      <w:r w:rsidRPr="00656E65">
        <w:lastRenderedPageBreak/>
        <w:t xml:space="preserve">tracheal intubation time and length of hospital stay. Anesth Analg 2002; 94:275–82. </w:t>
      </w:r>
    </w:p>
    <w:p w:rsidR="003C593D" w:rsidRPr="00465200" w:rsidRDefault="003C593D" w:rsidP="003C593D">
      <w:pPr>
        <w:autoSpaceDE w:val="0"/>
        <w:autoSpaceDN w:val="0"/>
        <w:adjustRightInd w:val="0"/>
        <w:jc w:val="both"/>
        <w:rPr>
          <w:sz w:val="12"/>
          <w:szCs w:val="12"/>
        </w:rPr>
      </w:pPr>
    </w:p>
    <w:p w:rsidR="003C593D" w:rsidRDefault="003C593D" w:rsidP="003C593D">
      <w:pPr>
        <w:numPr>
          <w:ilvl w:val="0"/>
          <w:numId w:val="1"/>
        </w:numPr>
        <w:jc w:val="lowKashida"/>
        <w:rPr>
          <w:lang w:bidi="ar-EG"/>
        </w:rPr>
      </w:pPr>
      <w:r w:rsidRPr="00656E65">
        <w:t>Giebler RM, Scherer RU, Peters J: Incidence of neurologic complications re</w:t>
      </w:r>
      <w:r w:rsidRPr="00656E65">
        <w:softHyphen/>
        <w:t xml:space="preserve"> lated to thorasic epidural catheterization. Anesthesiology, 1997; 86: 55–63</w:t>
      </w:r>
      <w:r>
        <w:t>.</w:t>
      </w:r>
    </w:p>
    <w:p w:rsidR="003C593D" w:rsidRPr="003C25B4" w:rsidRDefault="003C593D" w:rsidP="003C593D">
      <w:pPr>
        <w:jc w:val="lowKashida"/>
        <w:rPr>
          <w:sz w:val="12"/>
          <w:szCs w:val="12"/>
        </w:rPr>
      </w:pPr>
    </w:p>
    <w:p w:rsidR="003C593D" w:rsidRDefault="003C593D" w:rsidP="003C593D">
      <w:pPr>
        <w:numPr>
          <w:ilvl w:val="0"/>
          <w:numId w:val="1"/>
        </w:numPr>
        <w:jc w:val="lowKashida"/>
        <w:rPr>
          <w:lang w:bidi="ar-EG"/>
        </w:rPr>
      </w:pPr>
      <w:r w:rsidRPr="00656E65">
        <w:t xml:space="preserve"> Bromage PR: Neurological </w:t>
      </w:r>
      <w:r>
        <w:t xml:space="preserve">   </w:t>
      </w:r>
      <w:r w:rsidRPr="00656E65">
        <w:t>complications of subarachnoid and epidural anesthesia. Acta Anaesthesiol Scand, 1997; 41: 439–44</w:t>
      </w:r>
      <w:r>
        <w:rPr>
          <w:lang w:bidi="ar-EG"/>
        </w:rPr>
        <w:t>.</w:t>
      </w:r>
    </w:p>
    <w:p w:rsidR="003C593D" w:rsidRPr="003C25B4" w:rsidRDefault="003C593D" w:rsidP="003C593D">
      <w:pPr>
        <w:jc w:val="lowKashida"/>
        <w:rPr>
          <w:sz w:val="12"/>
          <w:szCs w:val="12"/>
          <w:rtl/>
          <w:lang w:bidi="ar-EG"/>
        </w:rPr>
      </w:pPr>
      <w:r w:rsidRPr="003C25B4">
        <w:rPr>
          <w:sz w:val="12"/>
          <w:szCs w:val="12"/>
        </w:rPr>
        <w:t xml:space="preserve"> </w:t>
      </w:r>
    </w:p>
    <w:p w:rsidR="003C593D" w:rsidRDefault="003C593D" w:rsidP="003C593D">
      <w:pPr>
        <w:pStyle w:val="Pa21"/>
        <w:numPr>
          <w:ilvl w:val="0"/>
          <w:numId w:val="1"/>
        </w:numPr>
        <w:jc w:val="both"/>
        <w:rPr>
          <w:rFonts w:ascii="Times New Roman" w:hAnsi="Times New Roman"/>
        </w:rPr>
      </w:pPr>
      <w:r w:rsidRPr="00656E65">
        <w:rPr>
          <w:rFonts w:ascii="Times New Roman" w:hAnsi="Times New Roman"/>
        </w:rPr>
        <w:t>Lequeux PY, Bouckaert Y, Sekkat H et al: Continuous mixed venous and cen</w:t>
      </w:r>
      <w:r w:rsidRPr="00656E65">
        <w:rPr>
          <w:rFonts w:ascii="Times New Roman" w:hAnsi="Times New Roman"/>
        </w:rPr>
        <w:softHyphen/>
        <w:t>tral venous oxygen saturation in cardiac surgery with cardiopulmonary by</w:t>
      </w:r>
      <w:r w:rsidRPr="00656E65">
        <w:rPr>
          <w:rFonts w:ascii="Times New Roman" w:hAnsi="Times New Roman"/>
        </w:rPr>
        <w:softHyphen/>
        <w:t>pass. Eur J Anaesthesiol, 2010; 27: 295–99</w:t>
      </w:r>
      <w:r>
        <w:rPr>
          <w:rFonts w:ascii="Times New Roman" w:hAnsi="Times New Roman"/>
        </w:rPr>
        <w:t>.</w:t>
      </w:r>
      <w:r w:rsidRPr="00656E65">
        <w:rPr>
          <w:rFonts w:ascii="Times New Roman" w:hAnsi="Times New Roman"/>
        </w:rPr>
        <w:t xml:space="preserve"> </w:t>
      </w:r>
    </w:p>
    <w:p w:rsidR="003C593D" w:rsidRPr="00465200" w:rsidRDefault="003C593D" w:rsidP="003C593D">
      <w:pPr>
        <w:rPr>
          <w:sz w:val="12"/>
          <w:szCs w:val="12"/>
        </w:rPr>
      </w:pPr>
    </w:p>
    <w:p w:rsidR="003C593D" w:rsidRDefault="003C593D" w:rsidP="003C593D">
      <w:pPr>
        <w:pStyle w:val="Pa21"/>
        <w:numPr>
          <w:ilvl w:val="0"/>
          <w:numId w:val="1"/>
        </w:numPr>
        <w:jc w:val="both"/>
        <w:rPr>
          <w:rFonts w:ascii="Times New Roman" w:hAnsi="Times New Roman"/>
        </w:rPr>
      </w:pPr>
      <w:r w:rsidRPr="00656E65">
        <w:rPr>
          <w:rFonts w:ascii="Times New Roman" w:hAnsi="Times New Roman"/>
        </w:rPr>
        <w:t>Breivik H, Bang U, Jalonen J et al: Nordic guidelines for neuroaxial blocks in disturbed hameostasis from the Scandinavian Society of Anaesthesiology and Intensive Care Medicine. Acta Anaesthesiol Scand, 2010; 54: 16–41</w:t>
      </w:r>
      <w:r>
        <w:rPr>
          <w:rFonts w:ascii="Times New Roman" w:hAnsi="Times New Roman"/>
        </w:rPr>
        <w:t>.</w:t>
      </w:r>
      <w:r w:rsidRPr="00656E65">
        <w:rPr>
          <w:rFonts w:ascii="Times New Roman" w:hAnsi="Times New Roman"/>
        </w:rPr>
        <w:t xml:space="preserve"> </w:t>
      </w:r>
    </w:p>
    <w:p w:rsidR="003C593D" w:rsidRPr="00465200" w:rsidRDefault="003C593D" w:rsidP="003C593D">
      <w:pPr>
        <w:rPr>
          <w:sz w:val="12"/>
          <w:szCs w:val="12"/>
        </w:rPr>
      </w:pPr>
    </w:p>
    <w:p w:rsidR="003C593D" w:rsidRDefault="003C593D" w:rsidP="003C593D">
      <w:pPr>
        <w:pStyle w:val="Pa21"/>
        <w:numPr>
          <w:ilvl w:val="0"/>
          <w:numId w:val="1"/>
        </w:numPr>
        <w:jc w:val="both"/>
        <w:rPr>
          <w:rFonts w:ascii="Times New Roman" w:hAnsi="Times New Roman"/>
          <w:lang w:bidi="ar-EG"/>
        </w:rPr>
      </w:pPr>
      <w:r w:rsidRPr="00656E65">
        <w:rPr>
          <w:rFonts w:ascii="Times New Roman" w:hAnsi="Times New Roman"/>
        </w:rPr>
        <w:t>Ong CK, Lirk P, Seymour RA, Jenkins BJ: The efficacy of preemptive anal</w:t>
      </w:r>
      <w:r w:rsidRPr="00656E65">
        <w:rPr>
          <w:rFonts w:ascii="Times New Roman" w:hAnsi="Times New Roman"/>
        </w:rPr>
        <w:softHyphen/>
        <w:t>gesia for acute postoperative pain management: a meta-analysis. Anesth Analg, 2005; 100: 757–73</w:t>
      </w:r>
      <w:r>
        <w:rPr>
          <w:rFonts w:ascii="Times New Roman" w:hAnsi="Times New Roman"/>
        </w:rPr>
        <w:t>.</w:t>
      </w:r>
      <w:r w:rsidRPr="00656E65">
        <w:rPr>
          <w:rFonts w:ascii="Times New Roman" w:hAnsi="Times New Roman"/>
        </w:rPr>
        <w:t xml:space="preserve"> </w:t>
      </w:r>
    </w:p>
    <w:p w:rsidR="003C593D" w:rsidRPr="004F666F" w:rsidRDefault="003C593D" w:rsidP="003C593D">
      <w:pPr>
        <w:numPr>
          <w:ilvl w:val="0"/>
          <w:numId w:val="1"/>
        </w:numPr>
        <w:shd w:val="clear" w:color="auto" w:fill="FFFFFF"/>
        <w:spacing w:line="332" w:lineRule="atLeast"/>
        <w:jc w:val="both"/>
        <w:rPr>
          <w:color w:val="000000"/>
          <w:shd w:val="clear" w:color="auto" w:fill="FFFFFF"/>
        </w:rPr>
      </w:pPr>
      <w:r w:rsidRPr="004F666F">
        <w:rPr>
          <w:color w:val="000000"/>
        </w:rPr>
        <w:t>Shayevitz JR, Merkel S, O’Kelly SW, Reynolds PI, Gutstein HB. Lumbar epidural morphine infusions for children undergoing cardiac surgery. J Cardiothorac Vasc Anesth. 1996;10:217–24.</w:t>
      </w:r>
    </w:p>
    <w:p w:rsidR="003C593D" w:rsidRPr="00465200" w:rsidRDefault="003C593D" w:rsidP="003C593D">
      <w:pPr>
        <w:numPr>
          <w:ilvl w:val="0"/>
          <w:numId w:val="1"/>
        </w:numPr>
        <w:shd w:val="clear" w:color="auto" w:fill="FFFFFF"/>
        <w:autoSpaceDE w:val="0"/>
        <w:autoSpaceDN w:val="0"/>
        <w:adjustRightInd w:val="0"/>
        <w:spacing w:line="332" w:lineRule="atLeast"/>
        <w:jc w:val="lowKashida"/>
        <w:rPr>
          <w:color w:val="000000"/>
        </w:rPr>
      </w:pPr>
      <w:r w:rsidRPr="004F666F">
        <w:rPr>
          <w:rStyle w:val="element-citation"/>
          <w:color w:val="000000"/>
          <w:shd w:val="clear" w:color="auto" w:fill="FFFFFF"/>
        </w:rPr>
        <w:t xml:space="preserve">Stenseth R, Bjella L, Berg EM, Christensen O, Levang OW, Gisvold SE. Effects of thoracic epidural analgesia on pulmonary function </w:t>
      </w:r>
      <w:r w:rsidRPr="004F666F">
        <w:rPr>
          <w:rStyle w:val="element-citation"/>
          <w:color w:val="000000"/>
          <w:shd w:val="clear" w:color="auto" w:fill="FFFFFF"/>
        </w:rPr>
        <w:lastRenderedPageBreak/>
        <w:t>after coronary artery bypass surgery.</w:t>
      </w:r>
      <w:r w:rsidRPr="004F666F">
        <w:rPr>
          <w:rStyle w:val="apple-converted-space"/>
          <w:color w:val="000000"/>
          <w:shd w:val="clear" w:color="auto" w:fill="FFFFFF"/>
        </w:rPr>
        <w:t> </w:t>
      </w:r>
      <w:r w:rsidRPr="004F666F">
        <w:rPr>
          <w:rStyle w:val="ref-journal"/>
          <w:color w:val="000000"/>
          <w:shd w:val="clear" w:color="auto" w:fill="FFFFFF"/>
        </w:rPr>
        <w:t>Eur J Cardiothorac Surg.</w:t>
      </w:r>
      <w:r w:rsidRPr="004F666F">
        <w:rPr>
          <w:rStyle w:val="apple-converted-space"/>
          <w:color w:val="000000"/>
          <w:shd w:val="clear" w:color="auto" w:fill="FFFFFF"/>
        </w:rPr>
        <w:t> </w:t>
      </w:r>
      <w:r w:rsidRPr="004F666F">
        <w:rPr>
          <w:rStyle w:val="element-citation"/>
          <w:color w:val="000000"/>
          <w:shd w:val="clear" w:color="auto" w:fill="FFFFFF"/>
        </w:rPr>
        <w:t>1996;</w:t>
      </w:r>
      <w:r w:rsidRPr="004F666F">
        <w:rPr>
          <w:rStyle w:val="ref-vol"/>
          <w:color w:val="000000"/>
          <w:shd w:val="clear" w:color="auto" w:fill="FFFFFF"/>
        </w:rPr>
        <w:t>10</w:t>
      </w:r>
      <w:r w:rsidRPr="004F666F">
        <w:rPr>
          <w:rStyle w:val="element-citation"/>
          <w:color w:val="000000"/>
          <w:shd w:val="clear" w:color="auto" w:fill="FFFFFF"/>
        </w:rPr>
        <w:t>:859–65.</w:t>
      </w:r>
      <w:r w:rsidRPr="004F666F">
        <w:rPr>
          <w:rStyle w:val="apple-converted-space"/>
          <w:color w:val="000000"/>
          <w:shd w:val="clear" w:color="auto" w:fill="FFFFFF"/>
        </w:rPr>
        <w:t> </w:t>
      </w:r>
    </w:p>
    <w:p w:rsidR="003C593D" w:rsidRPr="00656E65" w:rsidRDefault="003C593D" w:rsidP="003C593D">
      <w:pPr>
        <w:numPr>
          <w:ilvl w:val="0"/>
          <w:numId w:val="1"/>
        </w:numPr>
        <w:autoSpaceDE w:val="0"/>
        <w:autoSpaceDN w:val="0"/>
        <w:adjustRightInd w:val="0"/>
        <w:jc w:val="lowKashida"/>
      </w:pPr>
      <w:r w:rsidRPr="00656E65">
        <w:t>Ho AM, Chung DC, Joynt GM. Neuraxial blockade and hematoma in cardiac surgery: estimating the risk of a rare adverse event that has not (yet) occurred. Chest 2000; 117:551–5.</w:t>
      </w:r>
    </w:p>
    <w:p w:rsidR="003C593D" w:rsidRPr="00656E65" w:rsidRDefault="003C593D" w:rsidP="003C593D">
      <w:pPr>
        <w:autoSpaceDE w:val="0"/>
        <w:autoSpaceDN w:val="0"/>
        <w:adjustRightInd w:val="0"/>
        <w:jc w:val="lowKashida"/>
      </w:pPr>
    </w:p>
    <w:p w:rsidR="003C593D" w:rsidRDefault="003C593D" w:rsidP="003C593D">
      <w:pPr>
        <w:autoSpaceDE w:val="0"/>
        <w:autoSpaceDN w:val="0"/>
        <w:adjustRightInd w:val="0"/>
        <w:jc w:val="center"/>
        <w:rPr>
          <w:b/>
          <w:bCs/>
          <w:sz w:val="32"/>
          <w:szCs w:val="32"/>
        </w:rPr>
      </w:pPr>
    </w:p>
    <w:p w:rsidR="003C593D" w:rsidRDefault="003C593D" w:rsidP="003C593D">
      <w:pPr>
        <w:autoSpaceDE w:val="0"/>
        <w:autoSpaceDN w:val="0"/>
        <w:adjustRightInd w:val="0"/>
        <w:jc w:val="center"/>
        <w:rPr>
          <w:b/>
          <w:bCs/>
          <w:sz w:val="32"/>
          <w:szCs w:val="32"/>
        </w:rPr>
      </w:pPr>
    </w:p>
    <w:p w:rsidR="003C593D" w:rsidRDefault="003C593D" w:rsidP="003C593D">
      <w:pPr>
        <w:autoSpaceDE w:val="0"/>
        <w:autoSpaceDN w:val="0"/>
        <w:adjustRightInd w:val="0"/>
        <w:rPr>
          <w:b/>
          <w:bCs/>
          <w:sz w:val="32"/>
          <w:szCs w:val="32"/>
          <w:rtl/>
        </w:rPr>
        <w:sectPr w:rsidR="003C593D" w:rsidSect="003C25B4">
          <w:type w:val="continuous"/>
          <w:pgSz w:w="12240" w:h="15840"/>
          <w:pgMar w:top="1440" w:right="1797" w:bottom="1440" w:left="1797" w:header="709" w:footer="709" w:gutter="0"/>
          <w:cols w:num="2" w:space="708" w:equalWidth="0">
            <w:col w:w="3969" w:space="708"/>
            <w:col w:w="3969"/>
          </w:cols>
          <w:titlePg/>
          <w:docGrid w:linePitch="360"/>
        </w:sectPr>
      </w:pPr>
    </w:p>
    <w:p w:rsidR="003C593D" w:rsidRDefault="003C593D" w:rsidP="003C593D">
      <w:pPr>
        <w:bidi/>
        <w:jc w:val="center"/>
        <w:rPr>
          <w:b/>
          <w:bCs/>
          <w:sz w:val="32"/>
          <w:szCs w:val="32"/>
          <w:lang w:bidi="ar-EG"/>
        </w:rPr>
      </w:pPr>
      <w:r>
        <w:rPr>
          <w:rFonts w:hint="cs"/>
          <w:b/>
          <w:bCs/>
          <w:sz w:val="32"/>
          <w:szCs w:val="32"/>
          <w:rtl/>
          <w:lang w:bidi="ar-EG"/>
        </w:rPr>
        <w:lastRenderedPageBreak/>
        <w:t>تأثير التسكين بالحقن خارج الأم الجافية بالفقرات الصدرية على زمن نزع الأنبوبة الحنجرية بعد التخدير و مقياس الألم بعد جراحات صمام القلب الميترالي</w:t>
      </w:r>
    </w:p>
    <w:p w:rsidR="003C593D" w:rsidRDefault="003C593D" w:rsidP="003C593D">
      <w:pPr>
        <w:bidi/>
        <w:jc w:val="center"/>
        <w:rPr>
          <w:lang w:bidi="ar-EG"/>
        </w:rPr>
      </w:pPr>
    </w:p>
    <w:p w:rsidR="003C593D" w:rsidRPr="00680BA4" w:rsidRDefault="003C593D" w:rsidP="003C593D">
      <w:pPr>
        <w:bidi/>
        <w:spacing w:line="276" w:lineRule="auto"/>
        <w:jc w:val="center"/>
        <w:rPr>
          <w:b/>
          <w:bCs/>
          <w:vertAlign w:val="superscript"/>
          <w:rtl/>
          <w:lang w:bidi="ar-EG"/>
        </w:rPr>
      </w:pPr>
      <w:r>
        <w:rPr>
          <w:rFonts w:hint="cs"/>
          <w:b/>
          <w:bCs/>
          <w:rtl/>
          <w:lang w:bidi="ar-EG"/>
        </w:rPr>
        <w:t>رأفت أحمد سالم</w:t>
      </w:r>
      <w:r>
        <w:rPr>
          <w:rFonts w:hint="cs"/>
          <w:b/>
          <w:bCs/>
          <w:vertAlign w:val="superscript"/>
          <w:rtl/>
          <w:lang w:bidi="ar-EG"/>
        </w:rPr>
        <w:t>1</w:t>
      </w:r>
      <w:r>
        <w:rPr>
          <w:rFonts w:hint="cs"/>
          <w:b/>
          <w:bCs/>
          <w:rtl/>
          <w:lang w:bidi="ar-EG"/>
        </w:rPr>
        <w:t xml:space="preserve"> و أحمد محمد عبد المعبود</w:t>
      </w:r>
      <w:r>
        <w:rPr>
          <w:rFonts w:hint="cs"/>
          <w:b/>
          <w:bCs/>
          <w:vertAlign w:val="superscript"/>
          <w:rtl/>
          <w:lang w:bidi="ar-EG"/>
        </w:rPr>
        <w:t>1</w:t>
      </w:r>
      <w:r>
        <w:rPr>
          <w:rFonts w:hint="cs"/>
          <w:b/>
          <w:bCs/>
          <w:rtl/>
          <w:lang w:bidi="ar-EG"/>
        </w:rPr>
        <w:t xml:space="preserve"> وأيمن محمد عبد الغفار</w:t>
      </w:r>
      <w:r>
        <w:rPr>
          <w:rFonts w:hint="cs"/>
          <w:b/>
          <w:bCs/>
          <w:vertAlign w:val="superscript"/>
          <w:rtl/>
          <w:lang w:bidi="ar-EG"/>
        </w:rPr>
        <w:t>2</w:t>
      </w:r>
    </w:p>
    <w:p w:rsidR="003C593D" w:rsidRDefault="003C593D" w:rsidP="003C593D">
      <w:pPr>
        <w:bidi/>
        <w:spacing w:line="276" w:lineRule="auto"/>
        <w:jc w:val="center"/>
        <w:rPr>
          <w:rtl/>
          <w:lang w:bidi="ar-EG"/>
        </w:rPr>
      </w:pPr>
      <w:r>
        <w:rPr>
          <w:rFonts w:hint="cs"/>
          <w:rtl/>
          <w:lang w:bidi="ar-EG"/>
        </w:rPr>
        <w:t>قسم التخدير و العناية المركزة</w:t>
      </w:r>
      <w:r>
        <w:rPr>
          <w:rFonts w:hint="cs"/>
          <w:vertAlign w:val="superscript"/>
          <w:rtl/>
          <w:lang w:bidi="ar-EG"/>
        </w:rPr>
        <w:t>1</w:t>
      </w:r>
      <w:r>
        <w:rPr>
          <w:rFonts w:hint="cs"/>
          <w:rtl/>
          <w:lang w:bidi="ar-EG"/>
        </w:rPr>
        <w:t xml:space="preserve"> وقسم جراحة القلب والصدر</w:t>
      </w:r>
      <w:r>
        <w:rPr>
          <w:rFonts w:hint="cs"/>
          <w:vertAlign w:val="superscript"/>
          <w:rtl/>
          <w:lang w:bidi="ar-EG"/>
        </w:rPr>
        <w:t>2</w:t>
      </w:r>
      <w:r>
        <w:rPr>
          <w:rFonts w:hint="cs"/>
          <w:rtl/>
          <w:lang w:bidi="ar-EG"/>
        </w:rPr>
        <w:t>- كلية الطب- جامعة سوهاج</w:t>
      </w:r>
    </w:p>
    <w:p w:rsidR="003C593D" w:rsidRDefault="003C593D" w:rsidP="003C593D">
      <w:pPr>
        <w:bidi/>
        <w:jc w:val="both"/>
        <w:rPr>
          <w:b/>
          <w:bCs/>
          <w:u w:val="single"/>
          <w:rtl/>
          <w:lang w:bidi="ar-EG"/>
        </w:rPr>
      </w:pPr>
    </w:p>
    <w:p w:rsidR="003C593D" w:rsidRDefault="003C593D" w:rsidP="003C593D">
      <w:pPr>
        <w:bidi/>
        <w:jc w:val="both"/>
        <w:rPr>
          <w:b/>
          <w:bCs/>
          <w:u w:val="single"/>
          <w:rtl/>
          <w:lang w:bidi="ar-EG"/>
        </w:rPr>
      </w:pPr>
      <w:r>
        <w:rPr>
          <w:rFonts w:hint="cs"/>
          <w:b/>
          <w:bCs/>
          <w:u w:val="single"/>
          <w:rtl/>
          <w:lang w:bidi="ar-EG"/>
        </w:rPr>
        <w:t>المقدمة و الهدف من البحث:</w:t>
      </w:r>
    </w:p>
    <w:p w:rsidR="003C593D" w:rsidRDefault="003C593D" w:rsidP="003C593D">
      <w:pPr>
        <w:bidi/>
        <w:jc w:val="both"/>
        <w:rPr>
          <w:rtl/>
          <w:lang w:bidi="ar-EG"/>
        </w:rPr>
      </w:pPr>
      <w:r>
        <w:rPr>
          <w:rFonts w:hint="cs"/>
          <w:rtl/>
          <w:lang w:bidi="ar-EG"/>
        </w:rPr>
        <w:t>صممت هذه الدراسة العشوائية لتقييم تأثير التسكين عن طريق وضع قسطرة قبل العمليات خارج الأم الجافية فى الفقرات الصدرية  على زمن نزع الانبوبة الحنجرية و مقياس الالم بعد جراحات صمام القلب الميترالي.</w:t>
      </w:r>
    </w:p>
    <w:p w:rsidR="003C593D" w:rsidRDefault="003C593D" w:rsidP="003C593D">
      <w:pPr>
        <w:bidi/>
        <w:jc w:val="both"/>
        <w:rPr>
          <w:b/>
          <w:bCs/>
          <w:u w:val="single"/>
          <w:rtl/>
          <w:lang w:bidi="ar-EG"/>
        </w:rPr>
      </w:pPr>
      <w:r>
        <w:rPr>
          <w:rFonts w:hint="cs"/>
          <w:b/>
          <w:bCs/>
          <w:u w:val="single"/>
          <w:rtl/>
          <w:lang w:bidi="ar-EG"/>
        </w:rPr>
        <w:t>الطريقة:</w:t>
      </w:r>
    </w:p>
    <w:p w:rsidR="003C593D" w:rsidRDefault="003C593D" w:rsidP="003C593D">
      <w:pPr>
        <w:bidi/>
        <w:jc w:val="both"/>
        <w:rPr>
          <w:rtl/>
          <w:lang w:bidi="ar-EG"/>
        </w:rPr>
      </w:pPr>
      <w:r>
        <w:rPr>
          <w:rFonts w:hint="cs"/>
          <w:rtl/>
          <w:lang w:bidi="ar-EG"/>
        </w:rPr>
        <w:t xml:space="preserve">تم تقسيم أربعة و ثمانين مريضا من مرضى جراحات تغيير صمام القلب الميترالي بطريقة عشوائية إلى مجموعتين </w:t>
      </w:r>
      <w:r>
        <w:rPr>
          <w:rtl/>
          <w:lang w:bidi="ar-EG"/>
        </w:rPr>
        <w:t>٬</w:t>
      </w:r>
      <w:r>
        <w:rPr>
          <w:rFonts w:hint="cs"/>
          <w:rtl/>
          <w:lang w:bidi="ar-EG"/>
        </w:rPr>
        <w:t xml:space="preserve"> تضم كل مجموعة اثنين و أربعين مريضا.</w:t>
      </w:r>
    </w:p>
    <w:p w:rsidR="003C593D" w:rsidRDefault="003C593D" w:rsidP="003C593D">
      <w:pPr>
        <w:pStyle w:val="a"/>
        <w:numPr>
          <w:ilvl w:val="0"/>
          <w:numId w:val="2"/>
        </w:numPr>
        <w:spacing w:after="0"/>
        <w:ind w:left="0"/>
        <w:jc w:val="both"/>
        <w:rPr>
          <w:sz w:val="24"/>
          <w:szCs w:val="24"/>
          <w:rtl/>
          <w:lang w:bidi="ar-EG"/>
        </w:rPr>
      </w:pPr>
      <w:r>
        <w:rPr>
          <w:sz w:val="24"/>
          <w:szCs w:val="24"/>
          <w:rtl/>
          <w:lang w:bidi="ar-EG"/>
        </w:rPr>
        <w:t>المجموعة الأولى: و هي مجموعة مرضى التسكين خارج الأم الجافية بالفقرات الصدرية و قد تم تخديرهم عن طريق التخدير الكلى و الحقن المسكن خارج الأم الجافية.</w:t>
      </w:r>
    </w:p>
    <w:p w:rsidR="003C593D" w:rsidRDefault="003C593D" w:rsidP="003C593D">
      <w:pPr>
        <w:numPr>
          <w:ilvl w:val="0"/>
          <w:numId w:val="2"/>
        </w:numPr>
        <w:bidi/>
        <w:spacing w:before="100" w:beforeAutospacing="1"/>
        <w:ind w:left="0" w:right="720"/>
        <w:contextualSpacing/>
        <w:jc w:val="both"/>
        <w:rPr>
          <w:rtl/>
          <w:lang w:bidi="ar-EG"/>
        </w:rPr>
      </w:pPr>
      <w:r>
        <w:rPr>
          <w:rFonts w:ascii="Calibri" w:hAnsi="Calibri" w:cs="Arial"/>
          <w:rtl/>
          <w:lang w:bidi="ar-EG"/>
        </w:rPr>
        <w:t>المجموعة الثانية: و هي مجموعة المرضى الذين تم تخديرهم تخديرا كليا مع استخدام المورفينات كقاعدة أساسية فى التخدير.</w:t>
      </w:r>
    </w:p>
    <w:p w:rsidR="003C593D" w:rsidRDefault="003C593D" w:rsidP="003C593D">
      <w:pPr>
        <w:bidi/>
        <w:spacing w:before="100" w:beforeAutospacing="1"/>
        <w:contextualSpacing/>
        <w:jc w:val="both"/>
        <w:rPr>
          <w:rFonts w:ascii="Calibri" w:hAnsi="Calibri" w:cs="Arial"/>
          <w:lang w:bidi="ar-EG"/>
        </w:rPr>
      </w:pPr>
      <w:r>
        <w:rPr>
          <w:rFonts w:ascii="Calibri" w:hAnsi="Calibri" w:cs="Arial"/>
          <w:rtl/>
          <w:lang w:bidi="ar-EG"/>
        </w:rPr>
        <w:t>و قد تم حقن مرضى المجموعة الأولى بعقار البيوبيفاكين (8-12ملليتر) بتركيز 0.25% بالإضافة إلى 50 الى 100 ميكروجرام من عقار الفينتانيل عن طريق القسطرة خارج الأم الجافية بالفقرات الصدرية كجرعة ابتدائية و ذلك قبل ساعة كاملة من بداية التخدير الكلى الذي تم بإعطاء المرضى عقار الفينتانيل بجرعة 2 ميكروجرام لكل كجم و عقار الثيوبينتون بجرعة 5 ملليجرام لكل كجم متبوعين بعقار البروبوفول عن طريق التنقيط بالوريد بجرعة 6 ملليجرام لكل جرام في الساعة و استخدم عقار البانكيرونىوم كباسط للعضلات.</w:t>
      </w:r>
    </w:p>
    <w:p w:rsidR="003C593D" w:rsidRDefault="003C593D" w:rsidP="003C593D">
      <w:pPr>
        <w:bidi/>
        <w:spacing w:before="100" w:beforeAutospacing="1" w:after="100" w:afterAutospacing="1"/>
        <w:contextualSpacing/>
        <w:jc w:val="both"/>
        <w:rPr>
          <w:rFonts w:ascii="Calibri" w:hAnsi="Calibri" w:cs="Arial"/>
          <w:rtl/>
          <w:lang w:bidi="ar-EG"/>
        </w:rPr>
      </w:pPr>
      <w:r>
        <w:rPr>
          <w:rFonts w:ascii="Calibri" w:hAnsi="Calibri" w:cs="Arial"/>
          <w:rtl/>
          <w:lang w:bidi="ar-EG"/>
        </w:rPr>
        <w:t>اما مرضى المجموعة الثانية فقد تم تخديرهم تخديرا كليا عن طريق إعطاء عقار الفينتانيل بجرعة 15 ميكروجرام لكل كجم مع عقار الثيوبنتون بجرعة 5 ملليجرام لكل كجم متبوعين بعقار البروبوفول عن طريق التنقيط الوريدى بجرعة 6ملليجرام لكل كجم في الساعة و عقار البانكيرونيوم بجرعة 0.1ملليجرام لكل كجم كباسط للعضلات.</w:t>
      </w:r>
    </w:p>
    <w:p w:rsidR="003C593D" w:rsidRDefault="003C593D" w:rsidP="003C593D">
      <w:pPr>
        <w:bidi/>
        <w:spacing w:before="100" w:beforeAutospacing="1" w:after="100" w:afterAutospacing="1"/>
        <w:contextualSpacing/>
        <w:jc w:val="both"/>
        <w:rPr>
          <w:rFonts w:ascii="Calibri" w:hAnsi="Calibri" w:cs="Arial"/>
          <w:rtl/>
          <w:lang w:bidi="ar-EG"/>
        </w:rPr>
      </w:pPr>
      <w:r>
        <w:rPr>
          <w:rFonts w:ascii="Calibri" w:hAnsi="Calibri" w:cs="Arial"/>
          <w:rtl/>
          <w:lang w:bidi="ar-EG"/>
        </w:rPr>
        <w:t>تم تسجىل زمن نزع الانبوبة الحنجرية فى المجموعتين و تقييم مقياس الألم و حساب جرعة الفينتانيل الكلية التي استخدمت فى المجموعتين.</w:t>
      </w:r>
    </w:p>
    <w:p w:rsidR="003C593D" w:rsidRDefault="003C593D" w:rsidP="003C593D">
      <w:pPr>
        <w:bidi/>
        <w:jc w:val="both"/>
        <w:rPr>
          <w:b/>
          <w:bCs/>
          <w:u w:val="single"/>
          <w:rtl/>
          <w:lang w:bidi="ar-EG"/>
        </w:rPr>
      </w:pPr>
      <w:r>
        <w:rPr>
          <w:rFonts w:hint="cs"/>
          <w:b/>
          <w:bCs/>
          <w:u w:val="single"/>
          <w:rtl/>
          <w:lang w:bidi="ar-EG"/>
        </w:rPr>
        <w:t>النتائج:</w:t>
      </w:r>
    </w:p>
    <w:p w:rsidR="003C593D" w:rsidRDefault="003C593D" w:rsidP="003C593D">
      <w:pPr>
        <w:bidi/>
        <w:jc w:val="both"/>
        <w:rPr>
          <w:rtl/>
          <w:lang w:bidi="ar-EG"/>
        </w:rPr>
      </w:pPr>
      <w:r>
        <w:rPr>
          <w:rFonts w:hint="cs"/>
          <w:rtl/>
          <w:lang w:bidi="ar-EG"/>
        </w:rPr>
        <w:t>وجد أن زمن نزع الانبوبة الحنجرية بعد التخدير الكلي و كذلك مقياس الألم خلال فترة الملاحظة بعد العملية الجراحية كان أقل وبمدلول إحصائى ذو جدوى فى مرضى مجموعة التسكين بالحقن خارج الأم الجافية في الفقرات الصدرية عنه في مرضى مجموعة التخدير الكلى التى تعتمد على المورفينات كقاعدة اساسية فى التخدير. كما أن جرعة الفينتانيل الكلية المستخدمة فى خلال 48 ساعة بعد الجراحة أكبر فى المجموعة الثانية عن المجموعة الاولى و ذلك بمدلول احصائى ذو جدوى.</w:t>
      </w:r>
    </w:p>
    <w:p w:rsidR="003C593D" w:rsidRDefault="003C593D" w:rsidP="003C593D">
      <w:pPr>
        <w:bidi/>
        <w:jc w:val="both"/>
        <w:rPr>
          <w:b/>
          <w:bCs/>
          <w:u w:val="single"/>
          <w:rtl/>
          <w:lang w:bidi="ar-EG"/>
        </w:rPr>
      </w:pPr>
      <w:r>
        <w:rPr>
          <w:rFonts w:hint="cs"/>
          <w:b/>
          <w:bCs/>
          <w:u w:val="single"/>
          <w:rtl/>
          <w:lang w:bidi="ar-EG"/>
        </w:rPr>
        <w:t>الاستنتاج:</w:t>
      </w:r>
    </w:p>
    <w:p w:rsidR="003C593D" w:rsidRDefault="003C593D" w:rsidP="003C593D">
      <w:pPr>
        <w:bidi/>
        <w:jc w:val="both"/>
        <w:rPr>
          <w:rtl/>
          <w:lang w:bidi="ar-EG"/>
        </w:rPr>
      </w:pPr>
      <w:r>
        <w:rPr>
          <w:rFonts w:hint="cs"/>
          <w:rtl/>
          <w:lang w:bidi="ar-EG"/>
        </w:rPr>
        <w:t>الإستخدام الروتينى للتسكىن عن طريق الحقن خارج الأم الجافية فى عمليات تغيير صمام القلب الميترالى مفيد جدا إذا توفرت بعض عوامل الأمان اثناء التخدير. ومن وجهة النظر الجراحية فان ذلك يحسن نتائج الجراحة عن طريق تقليل نسبة حدوث المضاعفات بعد الجراحة و تقصير مدة الاقامة فى العناية المركزة والمستشفى وتوفير النفقات.</w:t>
      </w:r>
    </w:p>
    <w:p w:rsidR="003C593D" w:rsidRDefault="003C593D" w:rsidP="003C593D">
      <w:pPr>
        <w:autoSpaceDE w:val="0"/>
        <w:autoSpaceDN w:val="0"/>
        <w:adjustRightInd w:val="0"/>
        <w:jc w:val="lowKashida"/>
        <w:rPr>
          <w:rFonts w:ascii="Tahoma" w:hAnsi="Tahoma"/>
          <w:rtl/>
        </w:rPr>
      </w:pPr>
      <w:r>
        <w:rPr>
          <w:rFonts w:ascii="Tahoma" w:hAnsi="Tahoma"/>
        </w:rPr>
        <w:t xml:space="preserve"> </w:t>
      </w:r>
    </w:p>
    <w:p w:rsidR="003C593D" w:rsidRDefault="003C593D" w:rsidP="003C593D">
      <w:pPr>
        <w:autoSpaceDE w:val="0"/>
        <w:autoSpaceDN w:val="0"/>
        <w:adjustRightInd w:val="0"/>
        <w:ind w:left="397"/>
        <w:jc w:val="lowKashida"/>
        <w:rPr>
          <w:rFonts w:ascii="Tahoma" w:hAnsi="Tahoma"/>
        </w:rPr>
      </w:pPr>
    </w:p>
    <w:p w:rsidR="003C593D" w:rsidRDefault="003C593D" w:rsidP="003C593D">
      <w:pPr>
        <w:autoSpaceDE w:val="0"/>
        <w:autoSpaceDN w:val="0"/>
        <w:adjustRightInd w:val="0"/>
        <w:jc w:val="lowKashida"/>
        <w:rPr>
          <w:rFonts w:ascii="Tahoma" w:hAnsi="Tahoma"/>
        </w:rPr>
      </w:pPr>
    </w:p>
    <w:p w:rsidR="003C593D" w:rsidRDefault="003C593D" w:rsidP="003C593D">
      <w:pPr>
        <w:rPr>
          <w:lang w:bidi="ar-EG"/>
        </w:rPr>
      </w:pPr>
    </w:p>
    <w:p w:rsidR="00315C52" w:rsidRDefault="00315C52">
      <w:pPr>
        <w:rPr>
          <w:lang w:bidi="ar-EG"/>
        </w:rPr>
      </w:pPr>
    </w:p>
    <w:sectPr w:rsidR="00315C52" w:rsidSect="00680BA4">
      <w:pgSz w:w="11906" w:h="16838" w:code="9"/>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BB0" w:rsidRDefault="00597BB0" w:rsidP="00E94CD3">
      <w:r>
        <w:separator/>
      </w:r>
    </w:p>
  </w:endnote>
  <w:endnote w:type="continuationSeparator" w:id="1">
    <w:p w:rsidR="00597BB0" w:rsidRDefault="00597BB0" w:rsidP="00E94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omiSans EFN">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29" w:rsidRDefault="00E94CD3" w:rsidP="007C049D">
    <w:pPr>
      <w:pStyle w:val="Footer"/>
      <w:framePr w:wrap="around" w:vAnchor="text" w:hAnchor="margin" w:xAlign="center" w:y="1"/>
      <w:rPr>
        <w:rStyle w:val="PageNumber"/>
      </w:rPr>
    </w:pPr>
    <w:r>
      <w:rPr>
        <w:rStyle w:val="PageNumber"/>
        <w:rtl/>
      </w:rPr>
      <w:fldChar w:fldCharType="begin"/>
    </w:r>
    <w:r w:rsidR="00EE42BE">
      <w:rPr>
        <w:rStyle w:val="PageNumber"/>
      </w:rPr>
      <w:instrText xml:space="preserve">PAGE  </w:instrText>
    </w:r>
    <w:r>
      <w:rPr>
        <w:rStyle w:val="PageNumber"/>
        <w:rtl/>
      </w:rPr>
      <w:fldChar w:fldCharType="end"/>
    </w:r>
  </w:p>
  <w:p w:rsidR="00A77A29" w:rsidRDefault="00597B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29" w:rsidRDefault="00E94CD3" w:rsidP="00573076">
    <w:pPr>
      <w:pStyle w:val="Footer"/>
      <w:framePr w:wrap="around" w:vAnchor="text" w:hAnchor="margin" w:xAlign="center" w:y="1"/>
      <w:bidi w:val="0"/>
      <w:rPr>
        <w:rStyle w:val="PageNumber"/>
      </w:rPr>
    </w:pPr>
    <w:r>
      <w:rPr>
        <w:rStyle w:val="PageNumber"/>
        <w:rtl/>
      </w:rPr>
      <w:fldChar w:fldCharType="begin"/>
    </w:r>
    <w:r w:rsidR="00EE42BE">
      <w:rPr>
        <w:rStyle w:val="PageNumber"/>
      </w:rPr>
      <w:instrText xml:space="preserve">PAGE  </w:instrText>
    </w:r>
    <w:r>
      <w:rPr>
        <w:rStyle w:val="PageNumber"/>
        <w:rtl/>
      </w:rPr>
      <w:fldChar w:fldCharType="separate"/>
    </w:r>
    <w:r w:rsidR="001359D3">
      <w:rPr>
        <w:rStyle w:val="PageNumber"/>
        <w:noProof/>
      </w:rPr>
      <w:t>3</w:t>
    </w:r>
    <w:r>
      <w:rPr>
        <w:rStyle w:val="PageNumber"/>
        <w:rtl/>
      </w:rPr>
      <w:fldChar w:fldCharType="end"/>
    </w:r>
  </w:p>
  <w:p w:rsidR="00A77A29" w:rsidRDefault="00597BB0">
    <w:pPr>
      <w:pStyle w:val="Footer"/>
      <w:rPr>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29" w:rsidRDefault="00E94CD3" w:rsidP="00573076">
    <w:pPr>
      <w:pStyle w:val="Footer"/>
      <w:framePr w:wrap="around" w:vAnchor="text" w:hAnchor="margin" w:xAlign="center" w:y="1"/>
      <w:bidi w:val="0"/>
      <w:rPr>
        <w:rStyle w:val="PageNumber"/>
        <w:rtl/>
        <w:lang w:bidi="ar-EG"/>
      </w:rPr>
    </w:pPr>
    <w:r>
      <w:rPr>
        <w:rStyle w:val="PageNumber"/>
        <w:rtl/>
      </w:rPr>
      <w:fldChar w:fldCharType="begin"/>
    </w:r>
    <w:r w:rsidR="00EE42BE">
      <w:rPr>
        <w:rStyle w:val="PageNumber"/>
      </w:rPr>
      <w:instrText xml:space="preserve">PAGE  </w:instrText>
    </w:r>
    <w:r>
      <w:rPr>
        <w:rStyle w:val="PageNumber"/>
        <w:rtl/>
      </w:rPr>
      <w:fldChar w:fldCharType="separate"/>
    </w:r>
    <w:r w:rsidR="001359D3">
      <w:rPr>
        <w:rStyle w:val="PageNumber"/>
        <w:noProof/>
      </w:rPr>
      <w:t>1</w:t>
    </w:r>
    <w:r>
      <w:rPr>
        <w:rStyle w:val="PageNumber"/>
        <w:rtl/>
      </w:rPr>
      <w:fldChar w:fldCharType="end"/>
    </w:r>
  </w:p>
  <w:p w:rsidR="00A77A29" w:rsidRDefault="00597BB0" w:rsidP="00573076">
    <w:pPr>
      <w:pStyle w:val="Footer"/>
      <w:bidi w:val="0"/>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BB0" w:rsidRDefault="00597BB0" w:rsidP="00E94CD3">
      <w:r>
        <w:separator/>
      </w:r>
    </w:p>
  </w:footnote>
  <w:footnote w:type="continuationSeparator" w:id="1">
    <w:p w:rsidR="00597BB0" w:rsidRDefault="00597BB0" w:rsidP="00E94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29" w:rsidRDefault="00E94CD3" w:rsidP="004F6FE5">
    <w:pPr>
      <w:pStyle w:val="Header"/>
      <w:framePr w:wrap="around" w:vAnchor="text" w:hAnchor="margin" w:xAlign="right" w:y="1"/>
      <w:rPr>
        <w:rStyle w:val="PageNumber"/>
      </w:rPr>
    </w:pPr>
    <w:r>
      <w:rPr>
        <w:rStyle w:val="PageNumber"/>
      </w:rPr>
      <w:fldChar w:fldCharType="begin"/>
    </w:r>
    <w:r w:rsidR="00EE42BE">
      <w:rPr>
        <w:rStyle w:val="PageNumber"/>
      </w:rPr>
      <w:instrText xml:space="preserve">PAGE  </w:instrText>
    </w:r>
    <w:r>
      <w:rPr>
        <w:rStyle w:val="PageNumber"/>
      </w:rPr>
      <w:fldChar w:fldCharType="separate"/>
    </w:r>
    <w:r w:rsidR="00EE42BE">
      <w:rPr>
        <w:rStyle w:val="PageNumber"/>
        <w:noProof/>
      </w:rPr>
      <w:t>10</w:t>
    </w:r>
    <w:r>
      <w:rPr>
        <w:rStyle w:val="PageNumber"/>
      </w:rPr>
      <w:fldChar w:fldCharType="end"/>
    </w:r>
  </w:p>
  <w:p w:rsidR="00A77A29" w:rsidRDefault="00597BB0" w:rsidP="00DD42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29" w:rsidRPr="00656E65" w:rsidRDefault="00EE42BE" w:rsidP="00680BA4">
    <w:pPr>
      <w:shd w:val="clear" w:color="auto" w:fill="FFFFFF"/>
      <w:tabs>
        <w:tab w:val="right" w:pos="8364"/>
      </w:tabs>
      <w:ind w:left="28"/>
      <w:rPr>
        <w:sz w:val="20"/>
        <w:szCs w:val="20"/>
      </w:rPr>
    </w:pPr>
    <w:r w:rsidRPr="006C050A">
      <w:rPr>
        <w:sz w:val="20"/>
        <w:szCs w:val="20"/>
      </w:rPr>
      <w:t>SOHAG MEDICAL JOURNAL</w:t>
    </w:r>
    <w:r w:rsidRPr="00656E65">
      <w:rPr>
        <w:b/>
        <w:bCs/>
        <w:sz w:val="32"/>
        <w:szCs w:val="32"/>
      </w:rPr>
      <w:t xml:space="preserve"> </w:t>
    </w:r>
    <w:r>
      <w:rPr>
        <w:b/>
        <w:bCs/>
        <w:sz w:val="32"/>
        <w:szCs w:val="32"/>
      </w:rPr>
      <w:t xml:space="preserve">                </w:t>
    </w:r>
    <w:r w:rsidRPr="00656E65">
      <w:rPr>
        <w:b/>
        <w:bCs/>
        <w:sz w:val="20"/>
        <w:szCs w:val="20"/>
      </w:rPr>
      <w:t>Anesthesia for Mitral Valve Replacement Surgery</w:t>
    </w:r>
  </w:p>
  <w:p w:rsidR="00A77A29" w:rsidRPr="00A77A29" w:rsidRDefault="00EE42BE" w:rsidP="00680BA4">
    <w:pPr>
      <w:pBdr>
        <w:bottom w:val="double" w:sz="6" w:space="1" w:color="auto"/>
      </w:pBdr>
      <w:shd w:val="clear" w:color="auto" w:fill="FFFFFF"/>
      <w:tabs>
        <w:tab w:val="right" w:pos="5812"/>
        <w:tab w:val="right" w:pos="6237"/>
        <w:tab w:val="right" w:pos="6521"/>
        <w:tab w:val="right" w:pos="6946"/>
        <w:tab w:val="right" w:pos="7230"/>
        <w:tab w:val="right" w:pos="8364"/>
      </w:tabs>
      <w:ind w:left="28"/>
      <w:rPr>
        <w:sz w:val="20"/>
        <w:szCs w:val="20"/>
      </w:rPr>
    </w:pPr>
    <w:r>
      <w:rPr>
        <w:sz w:val="20"/>
        <w:szCs w:val="20"/>
      </w:rPr>
      <w:t xml:space="preserve">      </w:t>
    </w:r>
    <w:r w:rsidRPr="00656E65">
      <w:rPr>
        <w:sz w:val="20"/>
        <w:szCs w:val="20"/>
      </w:rPr>
      <w:t>Vol. 17 No. 2 July 2013</w:t>
    </w:r>
    <w:r w:rsidRPr="00656E65">
      <w:rPr>
        <w:b/>
        <w:bCs/>
        <w:i/>
        <w:iCs/>
        <w:sz w:val="20"/>
        <w:szCs w:val="20"/>
      </w:rPr>
      <w:t xml:space="preserve"> </w:t>
    </w:r>
    <w:r w:rsidRPr="00656E65">
      <w:rPr>
        <w:sz w:val="20"/>
        <w:szCs w:val="20"/>
      </w:rPr>
      <w:t xml:space="preserve">                                   </w:t>
    </w:r>
    <w:r>
      <w:rPr>
        <w:sz w:val="20"/>
        <w:szCs w:val="20"/>
      </w:rPr>
      <w:t xml:space="preserve">             </w:t>
    </w:r>
    <w:r w:rsidRPr="00735AF1">
      <w:rPr>
        <w:sz w:val="20"/>
        <w:szCs w:val="20"/>
      </w:rPr>
      <w:t>Ahmed M.A., Abd Elmaabood</w:t>
    </w:r>
    <w:r>
      <w:rPr>
        <w:sz w:val="20"/>
        <w:szCs w:val="20"/>
      </w:rPr>
      <w:t xml:space="preserve"> </w:t>
    </w:r>
    <w:r w:rsidRPr="00A77A29">
      <w:rPr>
        <w:sz w:val="20"/>
        <w:szCs w:val="20"/>
      </w:rPr>
      <w:t>. et al</w:t>
    </w:r>
  </w:p>
  <w:p w:rsidR="00A77A29" w:rsidRPr="00866124" w:rsidRDefault="00597BB0" w:rsidP="00656E65">
    <w:pPr>
      <w:pStyle w:val="Head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29" w:rsidRPr="00656E65" w:rsidRDefault="00EE42BE" w:rsidP="00656E65">
    <w:pPr>
      <w:shd w:val="clear" w:color="auto" w:fill="FFFFFF"/>
      <w:tabs>
        <w:tab w:val="right" w:pos="8364"/>
      </w:tabs>
      <w:ind w:left="28"/>
      <w:jc w:val="center"/>
      <w:rPr>
        <w:sz w:val="20"/>
        <w:szCs w:val="20"/>
      </w:rPr>
    </w:pPr>
    <w:r w:rsidRPr="00656E65">
      <w:rPr>
        <w:sz w:val="20"/>
        <w:szCs w:val="20"/>
      </w:rPr>
      <w:t>SOHAG MEDICAL JOURNAL</w:t>
    </w:r>
  </w:p>
  <w:p w:rsidR="00A77A29" w:rsidRPr="00656E65" w:rsidRDefault="00EE42BE" w:rsidP="00656E65">
    <w:pPr>
      <w:pBdr>
        <w:bottom w:val="double" w:sz="6" w:space="1" w:color="auto"/>
      </w:pBdr>
      <w:shd w:val="clear" w:color="auto" w:fill="FFFFFF"/>
      <w:tabs>
        <w:tab w:val="right" w:pos="5812"/>
        <w:tab w:val="right" w:pos="6237"/>
        <w:tab w:val="right" w:pos="6521"/>
        <w:tab w:val="right" w:pos="6946"/>
        <w:tab w:val="right" w:pos="7230"/>
        <w:tab w:val="right" w:pos="8364"/>
      </w:tabs>
      <w:ind w:left="28"/>
      <w:jc w:val="center"/>
      <w:rPr>
        <w:sz w:val="20"/>
        <w:szCs w:val="20"/>
      </w:rPr>
    </w:pPr>
    <w:r w:rsidRPr="00656E65">
      <w:rPr>
        <w:sz w:val="20"/>
        <w:szCs w:val="20"/>
      </w:rPr>
      <w:t>Vol. 17 No. 2 July 2013</w:t>
    </w:r>
  </w:p>
  <w:p w:rsidR="00A77A29" w:rsidRDefault="00597B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42CB"/>
    <w:multiLevelType w:val="hybridMultilevel"/>
    <w:tmpl w:val="402A1C52"/>
    <w:lvl w:ilvl="0" w:tplc="6A40ABB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5812597"/>
    <w:multiLevelType w:val="hybridMultilevel"/>
    <w:tmpl w:val="FC607B16"/>
    <w:lvl w:ilvl="0" w:tplc="90C43EBE">
      <w:start w:val="1"/>
      <w:numFmt w:val="decimal"/>
      <w:lvlText w:val="%1."/>
      <w:lvlJc w:val="left"/>
      <w:pPr>
        <w:ind w:left="360" w:hanging="360"/>
      </w:pPr>
      <w:rPr>
        <w:rFonts w:hint="default"/>
        <w:b/>
        <w:bCs/>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C593D"/>
    <w:rsid w:val="001359D3"/>
    <w:rsid w:val="00315C52"/>
    <w:rsid w:val="003C593D"/>
    <w:rsid w:val="00597BB0"/>
    <w:rsid w:val="007438F7"/>
    <w:rsid w:val="0076379B"/>
    <w:rsid w:val="009F288B"/>
    <w:rsid w:val="00BF596B"/>
    <w:rsid w:val="00E94CD3"/>
    <w:rsid w:val="00EE42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593D"/>
    <w:pPr>
      <w:tabs>
        <w:tab w:val="center" w:pos="4153"/>
        <w:tab w:val="right" w:pos="8306"/>
      </w:tabs>
      <w:bidi/>
    </w:pPr>
    <w:rPr>
      <w:lang w:eastAsia="ar-SA"/>
    </w:rPr>
  </w:style>
  <w:style w:type="character" w:customStyle="1" w:styleId="FooterChar">
    <w:name w:val="Footer Char"/>
    <w:basedOn w:val="DefaultParagraphFont"/>
    <w:link w:val="Footer"/>
    <w:rsid w:val="003C593D"/>
    <w:rPr>
      <w:rFonts w:ascii="Times New Roman" w:eastAsia="Times New Roman" w:hAnsi="Times New Roman" w:cs="Times New Roman"/>
      <w:sz w:val="24"/>
      <w:szCs w:val="24"/>
      <w:lang w:eastAsia="ar-SA"/>
    </w:rPr>
  </w:style>
  <w:style w:type="paragraph" w:styleId="Header">
    <w:name w:val="header"/>
    <w:basedOn w:val="Normal"/>
    <w:link w:val="HeaderChar"/>
    <w:rsid w:val="003C593D"/>
    <w:pPr>
      <w:tabs>
        <w:tab w:val="center" w:pos="4153"/>
        <w:tab w:val="right" w:pos="8306"/>
      </w:tabs>
    </w:pPr>
  </w:style>
  <w:style w:type="character" w:customStyle="1" w:styleId="HeaderChar">
    <w:name w:val="Header Char"/>
    <w:basedOn w:val="DefaultParagraphFont"/>
    <w:link w:val="Header"/>
    <w:rsid w:val="003C593D"/>
    <w:rPr>
      <w:rFonts w:ascii="Times New Roman" w:eastAsia="Times New Roman" w:hAnsi="Times New Roman" w:cs="Times New Roman"/>
      <w:sz w:val="24"/>
      <w:szCs w:val="24"/>
    </w:rPr>
  </w:style>
  <w:style w:type="character" w:styleId="PageNumber">
    <w:name w:val="page number"/>
    <w:basedOn w:val="DefaultParagraphFont"/>
    <w:rsid w:val="003C593D"/>
  </w:style>
  <w:style w:type="paragraph" w:styleId="NormalWeb">
    <w:name w:val="Normal (Web)"/>
    <w:basedOn w:val="Normal"/>
    <w:uiPriority w:val="99"/>
    <w:unhideWhenUsed/>
    <w:rsid w:val="003C593D"/>
    <w:pPr>
      <w:spacing w:before="100" w:beforeAutospacing="1" w:after="100" w:afterAutospacing="1"/>
    </w:pPr>
  </w:style>
  <w:style w:type="character" w:customStyle="1" w:styleId="apple-converted-space">
    <w:name w:val="apple-converted-space"/>
    <w:basedOn w:val="DefaultParagraphFont"/>
    <w:rsid w:val="003C593D"/>
  </w:style>
  <w:style w:type="character" w:customStyle="1" w:styleId="element-citation">
    <w:name w:val="element-citation"/>
    <w:basedOn w:val="DefaultParagraphFont"/>
    <w:rsid w:val="003C593D"/>
  </w:style>
  <w:style w:type="character" w:customStyle="1" w:styleId="ref-journal">
    <w:name w:val="ref-journal"/>
    <w:basedOn w:val="DefaultParagraphFont"/>
    <w:rsid w:val="003C593D"/>
  </w:style>
  <w:style w:type="character" w:customStyle="1" w:styleId="ref-vol">
    <w:name w:val="ref-vol"/>
    <w:basedOn w:val="DefaultParagraphFont"/>
    <w:rsid w:val="003C593D"/>
  </w:style>
  <w:style w:type="character" w:styleId="Emphasis">
    <w:name w:val="Emphasis"/>
    <w:uiPriority w:val="20"/>
    <w:qFormat/>
    <w:rsid w:val="003C593D"/>
    <w:rPr>
      <w:i/>
      <w:iCs/>
    </w:rPr>
  </w:style>
  <w:style w:type="paragraph" w:customStyle="1" w:styleId="Pa21">
    <w:name w:val="Pa21"/>
    <w:basedOn w:val="Normal"/>
    <w:next w:val="Normal"/>
    <w:rsid w:val="003C593D"/>
    <w:pPr>
      <w:autoSpaceDE w:val="0"/>
      <w:autoSpaceDN w:val="0"/>
      <w:adjustRightInd w:val="0"/>
      <w:spacing w:line="141" w:lineRule="atLeast"/>
    </w:pPr>
    <w:rPr>
      <w:rFonts w:ascii="NaomiSans EFN" w:hAnsi="NaomiSans EFN"/>
    </w:rPr>
  </w:style>
  <w:style w:type="paragraph" w:customStyle="1" w:styleId="a">
    <w:name w:val="سرد الفقرات"/>
    <w:basedOn w:val="Normal"/>
    <w:rsid w:val="003C593D"/>
    <w:pPr>
      <w:bidi/>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3447</Words>
  <Characters>19651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dc:creator>
  <cp:lastModifiedBy>TROJAN</cp:lastModifiedBy>
  <cp:revision>2</cp:revision>
  <dcterms:created xsi:type="dcterms:W3CDTF">2014-02-02T00:41:00Z</dcterms:created>
  <dcterms:modified xsi:type="dcterms:W3CDTF">2014-02-02T04:55:00Z</dcterms:modified>
</cp:coreProperties>
</file>